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4A0" w:firstRow="1" w:lastRow="0" w:firstColumn="1" w:lastColumn="0" w:noHBand="0" w:noVBand="1"/>
      </w:tblPr>
      <w:tblGrid>
        <w:gridCol w:w="6609"/>
        <w:gridCol w:w="7395"/>
      </w:tblGrid>
      <w:tr w:rsidR="00972D89" w:rsidRPr="0013431E" w14:paraId="4923306C" w14:textId="77777777" w:rsidTr="00E24D2A">
        <w:tc>
          <w:tcPr>
            <w:tcW w:w="6711" w:type="dxa"/>
          </w:tcPr>
          <w:p w14:paraId="1118D802" w14:textId="77777777" w:rsidR="00972D89" w:rsidRPr="00BE4A1A" w:rsidRDefault="00972D89" w:rsidP="00353BF3">
            <w:pPr>
              <w:pStyle w:val="Nagwek4"/>
              <w:pageBreakBefore/>
              <w:rPr>
                <w:rFonts w:cs="Arial"/>
                <w:szCs w:val="20"/>
              </w:rPr>
            </w:pPr>
            <w:r w:rsidRPr="00BE4A1A">
              <w:rPr>
                <w:rFonts w:cs="Arial"/>
                <w:szCs w:val="20"/>
              </w:rPr>
              <w:t>Veřejná podpora</w:t>
            </w:r>
          </w:p>
        </w:tc>
        <w:tc>
          <w:tcPr>
            <w:tcW w:w="7509" w:type="dxa"/>
          </w:tcPr>
          <w:p w14:paraId="01237A9B" w14:textId="77777777" w:rsidR="00972D89" w:rsidRPr="00BE4A1A" w:rsidRDefault="00972D89" w:rsidP="00353BF3">
            <w:pPr>
              <w:pStyle w:val="Nagwek4"/>
              <w:pageBreakBefore/>
              <w:rPr>
                <w:rFonts w:cs="Arial"/>
                <w:szCs w:val="20"/>
              </w:rPr>
            </w:pPr>
            <w:r w:rsidRPr="00BE4A1A">
              <w:rPr>
                <w:rFonts w:cs="Arial"/>
                <w:szCs w:val="20"/>
              </w:rPr>
              <w:t>Pomoc publiczna</w:t>
            </w:r>
          </w:p>
        </w:tc>
      </w:tr>
      <w:tr w:rsidR="00972D89" w:rsidRPr="0013431E" w14:paraId="29F9152C" w14:textId="77777777" w:rsidTr="00E24D2A">
        <w:tc>
          <w:tcPr>
            <w:tcW w:w="6711" w:type="dxa"/>
          </w:tcPr>
          <w:p w14:paraId="66058E34" w14:textId="77777777" w:rsidR="00972D89" w:rsidRPr="006A451D" w:rsidRDefault="00972D89" w:rsidP="00353BF3">
            <w:pPr>
              <w:pStyle w:val="Nagwek5"/>
              <w:rPr>
                <w:rFonts w:cs="Arial"/>
                <w:szCs w:val="16"/>
              </w:rPr>
            </w:pPr>
            <w:r w:rsidRPr="006A451D">
              <w:rPr>
                <w:rFonts w:cs="Arial"/>
                <w:szCs w:val="16"/>
              </w:rPr>
              <w:t>1. Úvod</w:t>
            </w:r>
          </w:p>
        </w:tc>
        <w:tc>
          <w:tcPr>
            <w:tcW w:w="7509" w:type="dxa"/>
          </w:tcPr>
          <w:p w14:paraId="7E2D4691" w14:textId="77777777" w:rsidR="00972D89" w:rsidRPr="006A451D" w:rsidRDefault="00972D89" w:rsidP="00353BF3">
            <w:pPr>
              <w:pStyle w:val="Nagwek5"/>
              <w:rPr>
                <w:rFonts w:cs="Arial"/>
                <w:szCs w:val="16"/>
              </w:rPr>
            </w:pPr>
            <w:r w:rsidRPr="006A451D">
              <w:rPr>
                <w:rFonts w:cs="Arial"/>
                <w:szCs w:val="16"/>
              </w:rPr>
              <w:t>1. Wstęp</w:t>
            </w:r>
          </w:p>
        </w:tc>
      </w:tr>
      <w:tr w:rsidR="00972D89" w:rsidRPr="0013431E" w14:paraId="2A076AAB" w14:textId="77777777" w:rsidTr="00E24D2A">
        <w:tc>
          <w:tcPr>
            <w:tcW w:w="6711" w:type="dxa"/>
          </w:tcPr>
          <w:p w14:paraId="53AE136C" w14:textId="7E7A9040" w:rsidR="00972D89" w:rsidRPr="006A451D" w:rsidRDefault="00972D89" w:rsidP="00353BF3">
            <w:pPr>
              <w:rPr>
                <w:rFonts w:cs="Arial"/>
              </w:rPr>
            </w:pPr>
            <w:r w:rsidRPr="006A451D">
              <w:rPr>
                <w:rFonts w:cs="Arial"/>
              </w:rPr>
              <w:t>Každý žadatel by si měl před podáním projektové žádosti položit otázku, zda aktivity obsažené v jeho projektu mohou zakládat riziko veřejné podpory. Projekt zakládá veřejnou podporu, pokud narušuje nebo může narušit hospodářskou soutěž, tzn., že poskytnutím dotace by příjemce dotace získal neoprávněnou výhodu v ekonomické činnosti (tj. nabízení výrobků a/nebo služeb na volném trhu) vůči ostatním ekonomickým subjektům působícím na společném trhu EU. Veřejné podpory, které narušují nebo by mohly narušit hospodářskou soutěž na volném trhu EU, jsou zakázané</w:t>
            </w:r>
            <w:r w:rsidR="00955514">
              <w:rPr>
                <w:rFonts w:cs="Arial"/>
              </w:rPr>
              <w:t>,</w:t>
            </w:r>
            <w:r w:rsidRPr="006A451D">
              <w:rPr>
                <w:rFonts w:cs="Arial"/>
              </w:rPr>
              <w:t xml:space="preserve"> a tedy neslučitelné s právem EU.</w:t>
            </w:r>
          </w:p>
        </w:tc>
        <w:tc>
          <w:tcPr>
            <w:tcW w:w="7509" w:type="dxa"/>
          </w:tcPr>
          <w:p w14:paraId="582BF94A" w14:textId="77777777" w:rsidR="00972D89" w:rsidRPr="006A451D" w:rsidRDefault="00972D89" w:rsidP="00353BF3">
            <w:pPr>
              <w:spacing w:after="120"/>
              <w:rPr>
                <w:rFonts w:cs="Arial"/>
                <w:lang w:val="pl-PL"/>
              </w:rPr>
            </w:pPr>
            <w:r w:rsidRPr="006A451D">
              <w:rPr>
                <w:rFonts w:eastAsia="Calibri" w:cs="Arial"/>
                <w:bdr w:val="nil"/>
                <w:lang w:val="pl-PL" w:bidi="pl-PL"/>
              </w:rPr>
              <w:t>Każdy wnioskodawca, zanim złoży wniosek projektowy, powinien zadać sobie pytanie, czy działania objęte jego projektem mogą pociągać za sobą ryzyko wystąpienia pomocy publicznej. Projekt podlega objęciu pomocą publiczną, jeżeli narusza lub może naruszyć zasady uczciwej konkurencji, co oznacza, że na skutek udzielenia dofinansowania beneficjent uzyskałby nieuzasadnione korzyści w zakresie działalności gospodarczej (tzn. oferowania towarów i/lub usług na wolnym rynku), w porównaniu z pozostałymi podmiotami gospodarczymi aktywnymi na wspólnym rynku UE. Przypadki pomocy publicznej, które naruszają lub mogłyby naruszyć zasady uczciwej konkurencji na wolnym rynku UE, są zakazane i wykluczone na mocy przepisów prawa UE.</w:t>
            </w:r>
          </w:p>
        </w:tc>
      </w:tr>
      <w:tr w:rsidR="00972D89" w:rsidRPr="0013431E" w14:paraId="4CF26DAC" w14:textId="77777777" w:rsidTr="00E24D2A">
        <w:tc>
          <w:tcPr>
            <w:tcW w:w="6711" w:type="dxa"/>
          </w:tcPr>
          <w:p w14:paraId="7993F357" w14:textId="606456BE" w:rsidR="00972D89" w:rsidRPr="006A451D" w:rsidRDefault="00972D89" w:rsidP="00353BF3">
            <w:pPr>
              <w:rPr>
                <w:rFonts w:cs="Arial"/>
              </w:rPr>
            </w:pPr>
            <w:r w:rsidRPr="006A451D">
              <w:rPr>
                <w:rFonts w:cs="Arial"/>
              </w:rPr>
              <w:t>Proto JS při hodnocení přijatelnosti projektu posuzuje, zda poskytnutí dotace na konkrétní projekt může vést k narušení volné hospodářské soutěže a dále, v případě že povede, posuzuje, zda lze na poskytnutí dotace aplikovat jednu z výjimek stanovených předpisy EU. Pokud některou z výjimek aplikovat nelze, je projekt nezpůsobilý k podpoře z programu a je již ve fázi kontroly přijatelnosti vyřazen. Pokud jednu z výjimek aplikovat lze, ale toto není zohledněno v předložené projektové žádosti, je žadatel vyzván k úpravě projektu.</w:t>
            </w:r>
          </w:p>
        </w:tc>
        <w:tc>
          <w:tcPr>
            <w:tcW w:w="7509" w:type="dxa"/>
          </w:tcPr>
          <w:p w14:paraId="3BEB4CE9" w14:textId="22769F61" w:rsidR="00972D89" w:rsidRPr="006A451D" w:rsidRDefault="00972D89" w:rsidP="00353BF3">
            <w:pPr>
              <w:spacing w:after="120"/>
              <w:rPr>
                <w:rFonts w:cs="Arial"/>
                <w:lang w:val="pl-PL"/>
              </w:rPr>
            </w:pPr>
            <w:r w:rsidRPr="006A451D">
              <w:rPr>
                <w:rFonts w:eastAsia="Calibri" w:cs="Arial"/>
                <w:bdr w:val="nil"/>
                <w:lang w:val="pl-PL" w:bidi="pl-PL"/>
              </w:rPr>
              <w:t>Dlatego WS podczas weryfikacji kwalifikowalności projektu ocenia, czy udzielenie dofinansowania na konkretny projektmoże prowadzić do naruszenia wolnej i uczciwej konkurencji, zaś w przypadkach, w których dofinansowanie faktycznie narusza te zasady, WS ocenia, czy w przypadku jego udzielenia, zastosować można jeden z wyjątków określonych przez przepisy prawa UE. Jeżeli nie można zastosować żadnego z wyjątków, oznacza to, że projekt nie spełnia wymagań kwalifikowalności w ramach Programu i zostaje zdyskwalifikowany już w fazie kontroli kwalifikowalności. Jeżeli można zastosować jeden z wyjątków, ale nie zostało to uwzględnione w złożonym wniosku projektowym, Wnioskodawca zostaje wezwany do wniesienia poprawek do projektu.</w:t>
            </w:r>
          </w:p>
        </w:tc>
      </w:tr>
      <w:tr w:rsidR="00972D89" w:rsidRPr="0013431E" w14:paraId="2C934FB1" w14:textId="77777777" w:rsidTr="00E24D2A">
        <w:trPr>
          <w:trHeight w:val="20"/>
        </w:trPr>
        <w:tc>
          <w:tcPr>
            <w:tcW w:w="6711" w:type="dxa"/>
          </w:tcPr>
          <w:p w14:paraId="0B662FF6" w14:textId="77777777" w:rsidR="00972D89" w:rsidRPr="006A451D" w:rsidRDefault="00972D89" w:rsidP="00353BF3">
            <w:pPr>
              <w:rPr>
                <w:rFonts w:cs="Arial"/>
              </w:rPr>
            </w:pPr>
            <w:r w:rsidRPr="006A451D">
              <w:rPr>
                <w:rFonts w:cs="Arial"/>
              </w:rPr>
              <w:t>Z toho důvodu je nutné, aby se projektoví partneři zabývali otázkou veřejné podpory již při přípravě</w:t>
            </w:r>
          </w:p>
          <w:p w14:paraId="6A4AA6FD" w14:textId="77777777" w:rsidR="00972D89" w:rsidRPr="006A451D" w:rsidRDefault="00972D89" w:rsidP="00353BF3">
            <w:pPr>
              <w:rPr>
                <w:rFonts w:cs="Arial"/>
              </w:rPr>
            </w:pPr>
            <w:r w:rsidRPr="006A451D">
              <w:rPr>
                <w:rFonts w:cs="Arial"/>
              </w:rPr>
              <w:t>projektu. Mohou tak včas identifikovat, zda aktivity připravovaného projektu mohou zakládat veřejnou podporu a vybrat nejvhodnější variantu řešení.</w:t>
            </w:r>
          </w:p>
          <w:p w14:paraId="4CF521B5" w14:textId="3EFCDDA3" w:rsidR="00972D89" w:rsidRPr="006A451D" w:rsidRDefault="00972D89" w:rsidP="00353BF3">
            <w:pPr>
              <w:spacing w:before="0" w:after="0"/>
              <w:rPr>
                <w:rFonts w:cs="Arial"/>
              </w:rPr>
            </w:pPr>
            <w:r w:rsidRPr="006A451D">
              <w:rPr>
                <w:rFonts w:cs="Arial"/>
              </w:rPr>
              <w:t>V případě potřeby podrobnějších informací či pochybností, zda plánované aktivity projektu mohou zakládat veřejnou podporu, je možné se v rámci konzultací obrátit na pracovníky krajského úřadu (čeští partneři) nebo regionálního kontaktního místa (polští partneři), nebo na JS či Řídící orgán. V případě českých projektových partnerů se Řídící orgán může dále obrátit s žádostí o stanovisko na Úřad pro ochranu hospodářské soutěže, a v případě polských projektových partnerů na Úřad pro ochranu konkurence a spotřebitele (Urzęd Ochrony Konkurencji i Konsumenta). Závazné rozhodnutí o existenci či neexistenci veřejné podpory je však oprávněna učinit jen Evropská komise.</w:t>
            </w:r>
          </w:p>
        </w:tc>
        <w:tc>
          <w:tcPr>
            <w:tcW w:w="7509" w:type="dxa"/>
          </w:tcPr>
          <w:p w14:paraId="731B08DF" w14:textId="77777777" w:rsidR="00972D89" w:rsidRPr="006A451D" w:rsidRDefault="00972D89" w:rsidP="00353BF3">
            <w:pPr>
              <w:spacing w:after="120"/>
              <w:rPr>
                <w:rFonts w:eastAsia="Calibri" w:cs="Arial"/>
                <w:bdr w:val="nil"/>
                <w:lang w:val="pl-PL" w:bidi="pl-PL"/>
              </w:rPr>
            </w:pPr>
            <w:r w:rsidRPr="006A451D">
              <w:rPr>
                <w:rFonts w:eastAsia="Calibri" w:cs="Arial"/>
                <w:bdr w:val="nil"/>
                <w:lang w:val="pl-PL" w:bidi="pl-PL"/>
              </w:rPr>
              <w:t>Dlatego też konieczne jest, aby partnerzy projektu zajęli się kwestią pomocy publicznej już w fazie przygotowaniaprojektu. Dzięki temu w odpowiednim momencie będzie można zweryfikować, czy działania przygotowywanego projektu mogą być objęte pomocą publiczną, oraz wybrać najbardziej odpowiednie rozwiązanie.</w:t>
            </w:r>
          </w:p>
          <w:p w14:paraId="6F305755" w14:textId="77777777" w:rsidR="00972D89" w:rsidRPr="006A451D" w:rsidRDefault="00972D89" w:rsidP="00353BF3">
            <w:pPr>
              <w:spacing w:before="0" w:after="120"/>
              <w:rPr>
                <w:rFonts w:eastAsia="Calibri" w:cs="Arial"/>
                <w:bdr w:val="nil"/>
                <w:lang w:val="pl-PL" w:bidi="pl-PL"/>
              </w:rPr>
            </w:pPr>
            <w:r w:rsidRPr="006A451D">
              <w:rPr>
                <w:rFonts w:eastAsia="Calibri" w:cs="Arial"/>
                <w:bdr w:val="nil"/>
                <w:lang w:val="pl-PL" w:bidi="pl-PL"/>
              </w:rPr>
              <w:t>W razie wątpliwości lub konieczności uzyskania bardziej szczegółowych informacji na temat tego, czy planowane działania mogą dotyczyć pomocy publicznej, należy zwrócić się do pracowników urzędu krajskiego (partnerzy czescy) lub Regionalnego Punktu Kontaktowego (partnerzy polscy) w ramach konsultacji, albo do WS lub Instytucji Zarządzającej. W przypadku czeskich partnerów projektu Instytucja Zarządzająca może się zwrócić z wnioskiem o wydanie opinii do Urzędu Ochrony Konkurencji RCz</w:t>
            </w:r>
            <w:r w:rsidRPr="006A451D">
              <w:rPr>
                <w:rStyle w:val="Odwoanieprzypisudolnego"/>
                <w:rFonts w:eastAsia="Calibri" w:cs="Arial"/>
                <w:bdr w:val="nil"/>
                <w:lang w:val="pl-PL" w:bidi="pl-PL"/>
              </w:rPr>
              <w:footnoteReference w:id="1"/>
            </w:r>
            <w:r w:rsidRPr="006A451D">
              <w:rPr>
                <w:rFonts w:eastAsia="Calibri" w:cs="Arial"/>
                <w:bdr w:val="nil"/>
                <w:lang w:val="pl-PL" w:bidi="pl-PL"/>
              </w:rPr>
              <w:t>, a w przypadku polskich partnerów projektu do Urzędu Ochrony Konkurencji i Konsumenta. Prawo do wydania ostatecznej wiążącej decyzji o zaistnieniu lub braku pomocy publicznej ma jednak wyłącznie Komisja Europejska.</w:t>
            </w:r>
          </w:p>
        </w:tc>
      </w:tr>
      <w:tr w:rsidR="00972D89" w:rsidRPr="0013431E" w14:paraId="6410AF30" w14:textId="77777777" w:rsidTr="00E24D2A">
        <w:tc>
          <w:tcPr>
            <w:tcW w:w="6711" w:type="dxa"/>
          </w:tcPr>
          <w:p w14:paraId="2A64FDDD" w14:textId="57B9DFED" w:rsidR="00972D89" w:rsidRPr="006A451D" w:rsidRDefault="00972D89" w:rsidP="00353BF3">
            <w:pPr>
              <w:rPr>
                <w:rFonts w:cs="Arial"/>
              </w:rPr>
            </w:pPr>
            <w:r w:rsidRPr="006A451D">
              <w:rPr>
                <w:rFonts w:cs="Arial"/>
              </w:rPr>
              <w:t>V jakém případě (u jakých typů projektů) obecně hrozí riziko veřejné podpory? Jedná se o případy, kdy aktivity realizované v projektu představují ekonomickou činnost (tj. činnost spočívající v nabídce zboží nebo služeb na určitém trhu), přičemž je lhostejné, zda jsou takové aktivity (ekonomické činnosti) nabízeny v rámci projektu za úplatu nebo bezplatně, a které zároveň jsou, anebo by mohly být, na volném trhu nabízeny i jinými ekonomickými subjekty. Následující text tuto obecnou podmínku blíže specifikuje</w:t>
            </w:r>
            <w:r w:rsidR="0032651F">
              <w:rPr>
                <w:rFonts w:cs="Arial"/>
              </w:rPr>
              <w:t>.</w:t>
            </w:r>
          </w:p>
        </w:tc>
        <w:tc>
          <w:tcPr>
            <w:tcW w:w="7509" w:type="dxa"/>
          </w:tcPr>
          <w:p w14:paraId="7F6BC27A" w14:textId="77777777" w:rsidR="00972D89" w:rsidRPr="006A451D" w:rsidRDefault="00972D89" w:rsidP="00353BF3">
            <w:pPr>
              <w:spacing w:after="120"/>
              <w:rPr>
                <w:rFonts w:eastAsia="Calibri" w:cs="Arial"/>
                <w:bdr w:val="nil"/>
                <w:lang w:val="pl-PL" w:bidi="pl-PL"/>
              </w:rPr>
            </w:pPr>
            <w:r w:rsidRPr="006A451D">
              <w:rPr>
                <w:rFonts w:eastAsia="Calibri" w:cs="Arial"/>
                <w:bdr w:val="nil"/>
                <w:lang w:val="pl-PL" w:bidi="pl-PL"/>
              </w:rPr>
              <w:t>W jakich przypadkach ( w jakich typach projektów) występuje ogólne ryzyko pomocy publicznej? Są to przypadki, w których działania realizowane w ramach projektu stanowią działalność gospodarczą (tj. działalność polegającą na oferowaniu towarów lub usług na określonym rynku), przy czym nie ma znaczenia, czy działania takie (działalność gospodarcza) oferowane są w ramach projektu odpłatnie czy nieodpłatnie, i które to działania jednocześnie są lub mogłyby być oferowane przez inne podmioty gospodarcze na wolnym rynku. Poniżej doprecyzowano niniejszy warunek ogólny.</w:t>
            </w:r>
          </w:p>
        </w:tc>
      </w:tr>
      <w:tr w:rsidR="00972D89" w:rsidRPr="0013431E" w14:paraId="1A494DCC" w14:textId="77777777" w:rsidTr="00E24D2A">
        <w:tc>
          <w:tcPr>
            <w:tcW w:w="6711" w:type="dxa"/>
          </w:tcPr>
          <w:p w14:paraId="6F1DC1CA" w14:textId="77777777" w:rsidR="00972D89" w:rsidRPr="0032651F" w:rsidRDefault="00972D89" w:rsidP="00353BF3">
            <w:pPr>
              <w:pStyle w:val="Nagwek5"/>
              <w:rPr>
                <w:u w:val="none"/>
              </w:rPr>
            </w:pPr>
            <w:r w:rsidRPr="00C44BE0">
              <w:t>2. Definiční znaky veřejné podpory</w:t>
            </w:r>
          </w:p>
        </w:tc>
        <w:tc>
          <w:tcPr>
            <w:tcW w:w="7509" w:type="dxa"/>
          </w:tcPr>
          <w:p w14:paraId="63A05E2A" w14:textId="77777777" w:rsidR="00972D89" w:rsidRPr="00C44BE0" w:rsidRDefault="00972D89" w:rsidP="00353BF3">
            <w:pPr>
              <w:pStyle w:val="Nagwek5"/>
            </w:pPr>
            <w:r w:rsidRPr="00C44BE0">
              <w:t>2. Kryteria pomocy publicznej</w:t>
            </w:r>
          </w:p>
        </w:tc>
      </w:tr>
      <w:tr w:rsidR="00972D89" w:rsidRPr="0013431E" w14:paraId="249D8264" w14:textId="77777777" w:rsidTr="00E24D2A">
        <w:tc>
          <w:tcPr>
            <w:tcW w:w="6711" w:type="dxa"/>
          </w:tcPr>
          <w:p w14:paraId="093A4B1A" w14:textId="77777777" w:rsidR="00972D89" w:rsidRPr="006A451D" w:rsidRDefault="00972D89" w:rsidP="00353BF3">
            <w:pPr>
              <w:autoSpaceDE w:val="0"/>
              <w:autoSpaceDN w:val="0"/>
              <w:adjustRightInd w:val="0"/>
              <w:rPr>
                <w:rFonts w:cs="Arial"/>
              </w:rPr>
            </w:pPr>
            <w:r w:rsidRPr="006A451D">
              <w:rPr>
                <w:rFonts w:cs="Arial"/>
              </w:rPr>
              <w:lastRenderedPageBreak/>
              <w:t xml:space="preserve">Na základě rozhodovací praxe orgánů a institucí EU byly stanoveny 4 definiční znaky veřejné podpory, podle kterých se rozhoduje, zda dané aktivity v rámci projektu veřejnou podporu mohou zakládat či nikoliv. Aby se jednalo o veřejnou podporu, musí být tyto 4 definiční znaky naplněny kumulativně, tzn., že musí být naplněny všechny definiční znaky současně. </w:t>
            </w:r>
          </w:p>
        </w:tc>
        <w:tc>
          <w:tcPr>
            <w:tcW w:w="7509" w:type="dxa"/>
          </w:tcPr>
          <w:p w14:paraId="1C5FDC92" w14:textId="77777777" w:rsidR="00972D89" w:rsidRPr="006A451D" w:rsidRDefault="00972D89" w:rsidP="00353BF3">
            <w:pPr>
              <w:autoSpaceDE w:val="0"/>
              <w:autoSpaceDN w:val="0"/>
              <w:adjustRightInd w:val="0"/>
              <w:spacing w:after="120"/>
              <w:rPr>
                <w:rFonts w:cs="Arial"/>
                <w:lang w:val="pl-PL"/>
              </w:rPr>
            </w:pPr>
            <w:r w:rsidRPr="006A451D">
              <w:rPr>
                <w:rFonts w:eastAsia="Calibri" w:cs="Arial"/>
                <w:bdr w:val="nil"/>
                <w:lang w:val="pl-PL" w:bidi="pl-PL"/>
              </w:rPr>
              <w:t>W oparciu o ustaloną praktykę decyzyjną organów i instytucji UE ustalone zostały 4 kryteria pomocy publicznej, na podstawie których podejmowane są decyzje odnośnie tego, czy dane działania w ramach projektu mogą zostać objęte zadami udzielania pomocy publicznej, czy też nie. Aby mówić o pomocy publicznej, projekt musi spełnić wszystkie 4 kryteria jednocześnie.</w:t>
            </w:r>
          </w:p>
        </w:tc>
      </w:tr>
      <w:tr w:rsidR="00972D89" w:rsidRPr="0013431E" w14:paraId="08E7B340" w14:textId="77777777" w:rsidTr="00E24D2A">
        <w:tc>
          <w:tcPr>
            <w:tcW w:w="6711" w:type="dxa"/>
          </w:tcPr>
          <w:p w14:paraId="499FF664" w14:textId="77777777" w:rsidR="00972D89" w:rsidRPr="006A451D" w:rsidRDefault="00972D89" w:rsidP="00353BF3">
            <w:pPr>
              <w:autoSpaceDE w:val="0"/>
              <w:autoSpaceDN w:val="0"/>
              <w:adjustRightInd w:val="0"/>
              <w:rPr>
                <w:rFonts w:cs="Arial"/>
              </w:rPr>
            </w:pPr>
            <w:r w:rsidRPr="006A451D">
              <w:rPr>
                <w:rFonts w:cs="Arial"/>
              </w:rPr>
              <w:t>Pro vyloučení veřejné podpory v projektu stačí, aby nebyl naplněn jeden z definičních znaků. Projekt je vždy posuzován jako celek, nikoliv pouze jeho dílčí části realizované jednotlivými partnery.</w:t>
            </w:r>
          </w:p>
        </w:tc>
        <w:tc>
          <w:tcPr>
            <w:tcW w:w="7509" w:type="dxa"/>
          </w:tcPr>
          <w:p w14:paraId="18BC3FC9" w14:textId="77777777" w:rsidR="00972D89" w:rsidRPr="006A451D" w:rsidRDefault="00972D89" w:rsidP="00353BF3">
            <w:pPr>
              <w:autoSpaceDE w:val="0"/>
              <w:autoSpaceDN w:val="0"/>
              <w:adjustRightInd w:val="0"/>
              <w:spacing w:after="120"/>
              <w:rPr>
                <w:rFonts w:cs="Arial"/>
                <w:lang w:val="pl-PL"/>
              </w:rPr>
            </w:pPr>
            <w:r w:rsidRPr="006A451D">
              <w:rPr>
                <w:rFonts w:eastAsia="Calibri" w:cs="Arial"/>
                <w:bdr w:val="nil"/>
                <w:lang w:val="pl-PL" w:bidi="pl-PL"/>
              </w:rPr>
              <w:t>Jeżeli chociaż jedno z kryteriów nie jest spełnione, pomoc publiczna w takim projekcie nie występuje. Ocenie poddawany jest projekt jako całość, nie zaś pojedyncze części składowe realizowane przez poszczególnych partnerów.</w:t>
            </w:r>
          </w:p>
        </w:tc>
      </w:tr>
      <w:tr w:rsidR="00972D89" w:rsidRPr="0013431E" w14:paraId="313A9900" w14:textId="77777777" w:rsidTr="00E24D2A">
        <w:tc>
          <w:tcPr>
            <w:tcW w:w="6711" w:type="dxa"/>
          </w:tcPr>
          <w:p w14:paraId="3BD45EB0" w14:textId="77777777" w:rsidR="00972D89" w:rsidRPr="006A451D" w:rsidRDefault="00972D89" w:rsidP="00353BF3">
            <w:pPr>
              <w:autoSpaceDE w:val="0"/>
              <w:autoSpaceDN w:val="0"/>
              <w:adjustRightInd w:val="0"/>
              <w:rPr>
                <w:rFonts w:cs="Arial"/>
                <w:b/>
              </w:rPr>
            </w:pPr>
            <w:r w:rsidRPr="006A451D">
              <w:rPr>
                <w:rFonts w:cs="Arial"/>
                <w:b/>
              </w:rPr>
              <w:t>Definiční znaky veřejné podpory jsou:</w:t>
            </w:r>
          </w:p>
        </w:tc>
        <w:tc>
          <w:tcPr>
            <w:tcW w:w="7509" w:type="dxa"/>
          </w:tcPr>
          <w:p w14:paraId="5D4167DE" w14:textId="77777777" w:rsidR="00972D89" w:rsidRPr="006A451D" w:rsidRDefault="00972D89" w:rsidP="00353BF3">
            <w:pPr>
              <w:autoSpaceDE w:val="0"/>
              <w:autoSpaceDN w:val="0"/>
              <w:adjustRightInd w:val="0"/>
              <w:spacing w:after="120"/>
              <w:rPr>
                <w:rFonts w:cs="Arial"/>
                <w:b/>
                <w:lang w:val="pl-PL"/>
              </w:rPr>
            </w:pPr>
            <w:r w:rsidRPr="006A451D">
              <w:rPr>
                <w:rFonts w:eastAsia="Calibri" w:cs="Arial"/>
                <w:b/>
                <w:bCs/>
                <w:bdr w:val="nil"/>
                <w:lang w:val="pl-PL" w:bidi="pl-PL"/>
              </w:rPr>
              <w:t>Kryteria pomocy publicznej są następujące:</w:t>
            </w:r>
          </w:p>
        </w:tc>
      </w:tr>
      <w:tr w:rsidR="00972D89" w:rsidRPr="0013431E" w14:paraId="60776D03" w14:textId="77777777" w:rsidTr="00E24D2A">
        <w:tc>
          <w:tcPr>
            <w:tcW w:w="6711" w:type="dxa"/>
          </w:tcPr>
          <w:p w14:paraId="300C5750" w14:textId="77777777" w:rsidR="00972D89" w:rsidRPr="006A451D" w:rsidRDefault="00972D89" w:rsidP="00353BF3">
            <w:pPr>
              <w:autoSpaceDE w:val="0"/>
              <w:autoSpaceDN w:val="0"/>
              <w:adjustRightInd w:val="0"/>
              <w:rPr>
                <w:rFonts w:cs="Arial"/>
              </w:rPr>
            </w:pPr>
            <w:r w:rsidRPr="006A451D">
              <w:rPr>
                <w:rFonts w:cs="Arial"/>
              </w:rPr>
              <w:t>1. podpora je poskytnuta státem nebo z veřejných prostředků;</w:t>
            </w:r>
          </w:p>
        </w:tc>
        <w:tc>
          <w:tcPr>
            <w:tcW w:w="7509" w:type="dxa"/>
          </w:tcPr>
          <w:p w14:paraId="647E6862" w14:textId="77777777" w:rsidR="00972D89" w:rsidRPr="006A451D" w:rsidRDefault="00972D89" w:rsidP="00353BF3">
            <w:pPr>
              <w:pStyle w:val="Akapitzlist"/>
              <w:numPr>
                <w:ilvl w:val="0"/>
                <w:numId w:val="29"/>
              </w:numPr>
              <w:autoSpaceDE w:val="0"/>
              <w:autoSpaceDN w:val="0"/>
              <w:adjustRightInd w:val="0"/>
              <w:spacing w:before="0" w:after="120" w:line="240" w:lineRule="auto"/>
              <w:jc w:val="both"/>
              <w:rPr>
                <w:rFonts w:ascii="Arial" w:hAnsi="Arial" w:cs="Arial"/>
                <w:sz w:val="16"/>
                <w:szCs w:val="16"/>
                <w:lang w:val="pl-PL" w:eastAsia="en-US"/>
              </w:rPr>
            </w:pPr>
            <w:r w:rsidRPr="006A451D">
              <w:rPr>
                <w:rFonts w:ascii="Arial" w:hAnsi="Arial" w:cs="Arial"/>
                <w:sz w:val="16"/>
                <w:szCs w:val="16"/>
                <w:bdr w:val="nil"/>
                <w:lang w:val="pl-PL" w:eastAsia="en-US" w:bidi="pl-PL"/>
              </w:rPr>
              <w:t>dofinansowanie udzielone zostało przez państwo lub ze środków publicznych;</w:t>
            </w:r>
          </w:p>
        </w:tc>
      </w:tr>
      <w:tr w:rsidR="00972D89" w:rsidRPr="0013431E" w14:paraId="19F8656E" w14:textId="77777777" w:rsidTr="00E24D2A">
        <w:tc>
          <w:tcPr>
            <w:tcW w:w="6711" w:type="dxa"/>
          </w:tcPr>
          <w:p w14:paraId="609DFE21" w14:textId="77777777" w:rsidR="00972D89" w:rsidRPr="006A451D" w:rsidRDefault="00972D89" w:rsidP="00353BF3">
            <w:pPr>
              <w:autoSpaceDE w:val="0"/>
              <w:autoSpaceDN w:val="0"/>
              <w:adjustRightInd w:val="0"/>
              <w:rPr>
                <w:rFonts w:cs="Arial"/>
              </w:rPr>
            </w:pPr>
            <w:r w:rsidRPr="006A451D">
              <w:rPr>
                <w:rFonts w:cs="Arial"/>
              </w:rPr>
              <w:t>2. podpora zvýhodňuje určité podniky nebo určitá odvětví v podnikání a je selektivní;</w:t>
            </w:r>
          </w:p>
        </w:tc>
        <w:tc>
          <w:tcPr>
            <w:tcW w:w="7509" w:type="dxa"/>
          </w:tcPr>
          <w:p w14:paraId="282B235D" w14:textId="77777777" w:rsidR="00972D89" w:rsidRPr="006A451D" w:rsidRDefault="00972D89" w:rsidP="00353BF3">
            <w:pPr>
              <w:pStyle w:val="Akapitzlist"/>
              <w:numPr>
                <w:ilvl w:val="0"/>
                <w:numId w:val="29"/>
              </w:numPr>
              <w:autoSpaceDE w:val="0"/>
              <w:autoSpaceDN w:val="0"/>
              <w:adjustRightInd w:val="0"/>
              <w:spacing w:before="0" w:after="120" w:line="240" w:lineRule="auto"/>
              <w:jc w:val="both"/>
              <w:rPr>
                <w:rFonts w:ascii="Arial" w:hAnsi="Arial" w:cs="Arial"/>
                <w:sz w:val="16"/>
                <w:szCs w:val="16"/>
                <w:lang w:val="pl-PL" w:eastAsia="en-US"/>
              </w:rPr>
            </w:pPr>
            <w:r w:rsidRPr="006A451D">
              <w:rPr>
                <w:rFonts w:ascii="Arial" w:hAnsi="Arial" w:cs="Arial"/>
                <w:sz w:val="16"/>
                <w:szCs w:val="16"/>
                <w:bdr w:val="nil"/>
                <w:lang w:val="pl-PL" w:eastAsia="en-US" w:bidi="pl-PL"/>
              </w:rPr>
              <w:t>dofinansowanie preferuje pewne przedsiębiorstwa lub określone gałęzie gospodarki i jest selektywna;</w:t>
            </w:r>
          </w:p>
        </w:tc>
      </w:tr>
      <w:tr w:rsidR="00972D89" w:rsidRPr="0013431E" w14:paraId="532F051F" w14:textId="77777777" w:rsidTr="00E24D2A">
        <w:tc>
          <w:tcPr>
            <w:tcW w:w="6711" w:type="dxa"/>
          </w:tcPr>
          <w:p w14:paraId="6957DABD" w14:textId="77777777" w:rsidR="00972D89" w:rsidRPr="006A451D" w:rsidRDefault="00972D89" w:rsidP="00353BF3">
            <w:pPr>
              <w:autoSpaceDE w:val="0"/>
              <w:autoSpaceDN w:val="0"/>
              <w:adjustRightInd w:val="0"/>
              <w:rPr>
                <w:rFonts w:cs="Arial"/>
              </w:rPr>
            </w:pPr>
            <w:r w:rsidRPr="006A451D">
              <w:rPr>
                <w:rFonts w:cs="Arial"/>
              </w:rPr>
              <w:t>3. je narušena nebo hrozí narušení hospodářské soutěže;</w:t>
            </w:r>
          </w:p>
        </w:tc>
        <w:tc>
          <w:tcPr>
            <w:tcW w:w="7509" w:type="dxa"/>
          </w:tcPr>
          <w:p w14:paraId="6A6F8430" w14:textId="77777777" w:rsidR="00972D89" w:rsidRPr="006A451D" w:rsidRDefault="00972D89" w:rsidP="00353BF3">
            <w:pPr>
              <w:pStyle w:val="Akapitzlist"/>
              <w:numPr>
                <w:ilvl w:val="0"/>
                <w:numId w:val="29"/>
              </w:numPr>
              <w:autoSpaceDE w:val="0"/>
              <w:autoSpaceDN w:val="0"/>
              <w:adjustRightInd w:val="0"/>
              <w:spacing w:before="0" w:after="120" w:line="240" w:lineRule="auto"/>
              <w:jc w:val="both"/>
              <w:rPr>
                <w:rFonts w:ascii="Arial" w:hAnsi="Arial" w:cs="Arial"/>
                <w:sz w:val="16"/>
                <w:szCs w:val="16"/>
                <w:lang w:val="pl-PL" w:eastAsia="en-US"/>
              </w:rPr>
            </w:pPr>
            <w:r w:rsidRPr="006A451D">
              <w:rPr>
                <w:rFonts w:ascii="Arial" w:hAnsi="Arial" w:cs="Arial"/>
                <w:sz w:val="16"/>
                <w:szCs w:val="16"/>
                <w:bdr w:val="nil"/>
                <w:lang w:val="pl-PL" w:eastAsia="en-US" w:bidi="pl-PL"/>
              </w:rPr>
              <w:t>zasady uczciwej konkurencji zostały naruszone lub mogą zostać naruszone;</w:t>
            </w:r>
          </w:p>
        </w:tc>
      </w:tr>
      <w:tr w:rsidR="00972D89" w:rsidRPr="0013431E" w14:paraId="6A4D1FCD" w14:textId="77777777" w:rsidTr="00E24D2A">
        <w:tc>
          <w:tcPr>
            <w:tcW w:w="6711" w:type="dxa"/>
          </w:tcPr>
          <w:p w14:paraId="4DE44E60" w14:textId="77777777" w:rsidR="00972D89" w:rsidRPr="006A451D" w:rsidRDefault="00972D89" w:rsidP="00353BF3">
            <w:pPr>
              <w:rPr>
                <w:rFonts w:cs="Arial"/>
              </w:rPr>
            </w:pPr>
            <w:r w:rsidRPr="006A451D">
              <w:rPr>
                <w:rFonts w:cs="Arial"/>
              </w:rPr>
              <w:t>4. podpora ovlivňuje obchod mezi členskými státy.</w:t>
            </w:r>
          </w:p>
        </w:tc>
        <w:tc>
          <w:tcPr>
            <w:tcW w:w="7509" w:type="dxa"/>
          </w:tcPr>
          <w:p w14:paraId="4A9FAA17" w14:textId="77777777" w:rsidR="00972D89" w:rsidRPr="006A451D" w:rsidRDefault="00972D89" w:rsidP="00353BF3">
            <w:pPr>
              <w:pStyle w:val="Akapitzlist"/>
              <w:numPr>
                <w:ilvl w:val="0"/>
                <w:numId w:val="29"/>
              </w:numPr>
              <w:spacing w:before="0" w:after="120" w:line="240" w:lineRule="auto"/>
              <w:jc w:val="both"/>
              <w:rPr>
                <w:rFonts w:ascii="Arial" w:hAnsi="Arial" w:cs="Arial"/>
                <w:sz w:val="16"/>
                <w:szCs w:val="16"/>
                <w:lang w:val="pl-PL" w:eastAsia="en-US"/>
              </w:rPr>
            </w:pPr>
            <w:r w:rsidRPr="006A451D">
              <w:rPr>
                <w:rFonts w:ascii="Arial" w:hAnsi="Arial" w:cs="Arial"/>
                <w:sz w:val="16"/>
                <w:szCs w:val="16"/>
                <w:bdr w:val="nil"/>
                <w:lang w:val="pl-PL" w:eastAsia="en-US" w:bidi="pl-PL"/>
              </w:rPr>
              <w:t>dofinansowanie wywiera wpływ na handel między państwami członkowskimi.</w:t>
            </w:r>
          </w:p>
        </w:tc>
      </w:tr>
      <w:tr w:rsidR="00972D89" w:rsidRPr="0013431E" w14:paraId="2F09323A" w14:textId="77777777" w:rsidTr="00E24D2A">
        <w:tc>
          <w:tcPr>
            <w:tcW w:w="6711" w:type="dxa"/>
          </w:tcPr>
          <w:p w14:paraId="2BC9E772" w14:textId="77777777" w:rsidR="00972D89" w:rsidRPr="006A451D" w:rsidRDefault="00972D89" w:rsidP="00353BF3">
            <w:pPr>
              <w:rPr>
                <w:rFonts w:cs="Arial"/>
                <w:b/>
              </w:rPr>
            </w:pPr>
            <w:r w:rsidRPr="006A451D">
              <w:rPr>
                <w:rFonts w:cs="Arial"/>
                <w:b/>
              </w:rPr>
              <w:t>Pro posouzení, zda konkrétní opatření může zakládat veřejnou podporu, je třeba položit následující otázky:</w:t>
            </w:r>
          </w:p>
        </w:tc>
        <w:tc>
          <w:tcPr>
            <w:tcW w:w="7509" w:type="dxa"/>
          </w:tcPr>
          <w:p w14:paraId="7BC0D06F" w14:textId="77777777" w:rsidR="00972D89" w:rsidRPr="006A451D" w:rsidRDefault="00972D89" w:rsidP="00353BF3">
            <w:pPr>
              <w:spacing w:after="120"/>
              <w:rPr>
                <w:rFonts w:eastAsia="Calibri" w:cs="Arial"/>
                <w:b/>
                <w:bCs/>
                <w:bdr w:val="nil"/>
                <w:lang w:val="pl-PL" w:bidi="pl-PL"/>
              </w:rPr>
            </w:pPr>
            <w:r w:rsidRPr="006A451D">
              <w:rPr>
                <w:rFonts w:eastAsia="Calibri" w:cs="Arial"/>
                <w:b/>
                <w:bCs/>
                <w:bdr w:val="nil"/>
                <w:lang w:val="pl-PL" w:bidi="pl-PL"/>
              </w:rPr>
              <w:t>Aby ocenić, czy konkretne działanie może być objęte zasadami pomocy publicznej, należy zadać sobie następujące pytania:</w:t>
            </w:r>
          </w:p>
        </w:tc>
      </w:tr>
      <w:tr w:rsidR="00972D89" w:rsidRPr="0013431E" w14:paraId="4B2ED951" w14:textId="77777777" w:rsidTr="00E24D2A">
        <w:tc>
          <w:tcPr>
            <w:tcW w:w="6711" w:type="dxa"/>
          </w:tcPr>
          <w:p w14:paraId="0ED8B74F" w14:textId="77777777" w:rsidR="00972D89" w:rsidRPr="006A451D" w:rsidRDefault="00972D89" w:rsidP="00353BF3">
            <w:pPr>
              <w:rPr>
                <w:rFonts w:cs="Arial"/>
                <w:b/>
              </w:rPr>
            </w:pPr>
            <w:r w:rsidRPr="006A451D">
              <w:rPr>
                <w:rFonts w:cs="Arial"/>
                <w:b/>
              </w:rPr>
              <w:t xml:space="preserve">Ad 1) Je podpora poskytnuta státem nebo z veřejných prostředků? </w:t>
            </w:r>
          </w:p>
        </w:tc>
        <w:tc>
          <w:tcPr>
            <w:tcW w:w="7509" w:type="dxa"/>
          </w:tcPr>
          <w:p w14:paraId="2AFD1C2E" w14:textId="77777777" w:rsidR="00972D89" w:rsidRPr="006A451D" w:rsidRDefault="00972D89" w:rsidP="00353BF3">
            <w:pPr>
              <w:spacing w:after="120"/>
              <w:rPr>
                <w:rFonts w:cs="Arial"/>
                <w:b/>
                <w:lang w:val="pl-PL"/>
              </w:rPr>
            </w:pPr>
            <w:r w:rsidRPr="006A451D">
              <w:rPr>
                <w:rFonts w:eastAsia="Calibri" w:cs="Arial"/>
                <w:b/>
                <w:bCs/>
                <w:bdr w:val="nil"/>
                <w:lang w:val="pl-PL" w:bidi="pl-PL"/>
              </w:rPr>
              <w:t xml:space="preserve">Ad 1) Czy dotacja udzielona została przez państwo lub ze środków publicznych? </w:t>
            </w:r>
          </w:p>
        </w:tc>
      </w:tr>
      <w:tr w:rsidR="00972D89" w:rsidRPr="0013431E" w14:paraId="6CFCE9B7" w14:textId="77777777" w:rsidTr="00E24D2A">
        <w:tc>
          <w:tcPr>
            <w:tcW w:w="6711" w:type="dxa"/>
          </w:tcPr>
          <w:p w14:paraId="5F53D2A3" w14:textId="0A0860E9" w:rsidR="00972D89" w:rsidRPr="006A451D" w:rsidRDefault="00972D89" w:rsidP="00353BF3">
            <w:pPr>
              <w:rPr>
                <w:rFonts w:cs="Arial"/>
              </w:rPr>
            </w:pPr>
            <w:r w:rsidRPr="006A451D">
              <w:rPr>
                <w:rFonts w:cs="Arial"/>
              </w:rPr>
              <w:t xml:space="preserve">Prostředky EU jsou považovány za veřejné prostředky tehdy, pokud o nich rozhodují orgány veřejné správy. Prostředky EFRR a státního rozpočtu představující finanční podporu v rámci programu </w:t>
            </w:r>
            <w:r w:rsidR="00955514" w:rsidRPr="00955514">
              <w:rPr>
                <w:rFonts w:cs="Arial"/>
              </w:rPr>
              <w:t>Interreg Česko – Polsko 2021-2027</w:t>
            </w:r>
            <w:r w:rsidRPr="006A451D">
              <w:rPr>
                <w:rFonts w:cs="Arial"/>
              </w:rPr>
              <w:t xml:space="preserve"> jsou tedy veřejnými prostředky a tento </w:t>
            </w:r>
            <w:r w:rsidRPr="006A451D">
              <w:rPr>
                <w:rFonts w:cs="Arial"/>
                <w:bCs/>
              </w:rPr>
              <w:t>definiční znak veřejné podpory je naplněn vždy</w:t>
            </w:r>
            <w:r w:rsidRPr="006A451D">
              <w:rPr>
                <w:rFonts w:cs="Arial"/>
              </w:rPr>
              <w:t>.</w:t>
            </w:r>
          </w:p>
        </w:tc>
        <w:tc>
          <w:tcPr>
            <w:tcW w:w="7509" w:type="dxa"/>
          </w:tcPr>
          <w:p w14:paraId="2DC4ABBB" w14:textId="49C447EE" w:rsidR="00972D89" w:rsidRPr="006A451D" w:rsidRDefault="00972D89" w:rsidP="00353BF3">
            <w:pPr>
              <w:spacing w:after="120"/>
              <w:rPr>
                <w:rFonts w:eastAsia="Calibri" w:cs="Arial"/>
                <w:bdr w:val="nil"/>
                <w:lang w:val="pl-PL" w:bidi="pl-PL"/>
              </w:rPr>
            </w:pPr>
            <w:r w:rsidRPr="006A451D">
              <w:rPr>
                <w:rFonts w:eastAsia="Calibri" w:cs="Arial"/>
                <w:bdr w:val="nil"/>
                <w:lang w:val="pl-PL" w:bidi="pl-PL"/>
              </w:rPr>
              <w:t xml:space="preserve">Środki UE uznawane są za środki publiczne wówczas, gdy o ich przyznaniu decydują organy administracji publicznej. Środki z EFRR i budżetu państwa, stanowiące dofinansowanie w ramach programu </w:t>
            </w:r>
            <w:r w:rsidR="00955514" w:rsidRPr="00955514">
              <w:rPr>
                <w:rFonts w:eastAsia="Calibri" w:cs="Arial"/>
                <w:bdr w:val="nil"/>
                <w:lang w:val="pl-PL" w:bidi="pl-PL"/>
              </w:rPr>
              <w:t>Interreg Czechy – Polska 2021-2027</w:t>
            </w:r>
            <w:r w:rsidR="00955514">
              <w:rPr>
                <w:rFonts w:eastAsia="Calibri" w:cs="Arial"/>
                <w:bdr w:val="nil"/>
                <w:lang w:val="pl-PL" w:bidi="pl-PL"/>
              </w:rPr>
              <w:t xml:space="preserve"> </w:t>
            </w:r>
            <w:r w:rsidRPr="006A451D">
              <w:rPr>
                <w:rFonts w:eastAsia="Calibri" w:cs="Arial"/>
                <w:bdr w:val="nil"/>
                <w:lang w:val="pl-PL" w:bidi="pl-PL"/>
              </w:rPr>
              <w:t>stanowią zatem środki publiczne, zaś kryterium definicyjne pomocy publicznej spełnione zostaje zawsze w przypadku przyznania tych środków.</w:t>
            </w:r>
          </w:p>
        </w:tc>
      </w:tr>
      <w:tr w:rsidR="00972D89" w:rsidRPr="0013431E" w14:paraId="4499BC5C" w14:textId="77777777" w:rsidTr="00E24D2A">
        <w:tc>
          <w:tcPr>
            <w:tcW w:w="6711" w:type="dxa"/>
          </w:tcPr>
          <w:p w14:paraId="3D9F07F1" w14:textId="77777777" w:rsidR="00972D89" w:rsidRPr="006A451D" w:rsidRDefault="00972D89" w:rsidP="00353BF3">
            <w:pPr>
              <w:rPr>
                <w:rFonts w:cs="Arial"/>
                <w:b/>
              </w:rPr>
            </w:pPr>
            <w:r w:rsidRPr="006A451D">
              <w:rPr>
                <w:rFonts w:cs="Arial"/>
                <w:b/>
              </w:rPr>
              <w:t xml:space="preserve">Ad 2) Zvýhodňuje podpora určité podniky nebo určité odvětví podnikání a je selektivní? </w:t>
            </w:r>
          </w:p>
        </w:tc>
        <w:tc>
          <w:tcPr>
            <w:tcW w:w="7509" w:type="dxa"/>
          </w:tcPr>
          <w:p w14:paraId="19008923" w14:textId="77777777" w:rsidR="00972D89" w:rsidRPr="006A451D" w:rsidRDefault="00972D89" w:rsidP="00353BF3">
            <w:pPr>
              <w:spacing w:after="120"/>
              <w:rPr>
                <w:rFonts w:cs="Arial"/>
                <w:b/>
                <w:lang w:val="pl-PL"/>
              </w:rPr>
            </w:pPr>
            <w:r w:rsidRPr="006A451D">
              <w:rPr>
                <w:rFonts w:eastAsia="Calibri" w:cs="Arial"/>
                <w:b/>
                <w:bCs/>
                <w:bdr w:val="nil"/>
                <w:lang w:val="pl-PL" w:bidi="pl-PL"/>
              </w:rPr>
              <w:t xml:space="preserve">Ad 2) Czy dotacja preferuje pewne przedsiębiorstwa lub określone gałęzie gospodarki i jest selektywna? </w:t>
            </w:r>
          </w:p>
        </w:tc>
      </w:tr>
      <w:tr w:rsidR="00972D89" w:rsidRPr="0013431E" w14:paraId="7140B58C" w14:textId="77777777" w:rsidTr="00E24D2A">
        <w:tc>
          <w:tcPr>
            <w:tcW w:w="6711" w:type="dxa"/>
          </w:tcPr>
          <w:p w14:paraId="58DBFB8C" w14:textId="77777777" w:rsidR="00972D89" w:rsidRPr="006A451D" w:rsidRDefault="00972D89" w:rsidP="00353BF3">
            <w:pPr>
              <w:autoSpaceDE w:val="0"/>
              <w:autoSpaceDN w:val="0"/>
              <w:adjustRightInd w:val="0"/>
              <w:rPr>
                <w:rFonts w:cs="Arial"/>
              </w:rPr>
            </w:pPr>
            <w:r w:rsidRPr="006A451D">
              <w:rPr>
                <w:rFonts w:cs="Arial"/>
              </w:rPr>
              <w:t xml:space="preserve">Při hodnocení tohoto znaku veřejné podpory je nezbytné analyzovat: </w:t>
            </w:r>
          </w:p>
        </w:tc>
        <w:tc>
          <w:tcPr>
            <w:tcW w:w="7509" w:type="dxa"/>
          </w:tcPr>
          <w:p w14:paraId="0A4E19CE" w14:textId="77777777" w:rsidR="00972D89" w:rsidRPr="006A451D" w:rsidRDefault="00972D89" w:rsidP="00353BF3">
            <w:pPr>
              <w:autoSpaceDE w:val="0"/>
              <w:autoSpaceDN w:val="0"/>
              <w:adjustRightInd w:val="0"/>
              <w:spacing w:after="120"/>
              <w:rPr>
                <w:rFonts w:cs="Arial"/>
                <w:lang w:val="pl-PL"/>
              </w:rPr>
            </w:pPr>
            <w:r w:rsidRPr="006A451D">
              <w:rPr>
                <w:rFonts w:eastAsia="Calibri" w:cs="Arial"/>
                <w:bdr w:val="nil"/>
                <w:lang w:val="pl-PL" w:bidi="pl-PL"/>
              </w:rPr>
              <w:t xml:space="preserve">Przy ocenie tego aspektu pomocy publicznej niezbędne jest zanalizowanie następujących czynników: </w:t>
            </w:r>
          </w:p>
        </w:tc>
      </w:tr>
      <w:tr w:rsidR="00972D89" w:rsidRPr="0013431E" w14:paraId="28BA86B1" w14:textId="77777777" w:rsidTr="00E24D2A">
        <w:tc>
          <w:tcPr>
            <w:tcW w:w="6711" w:type="dxa"/>
          </w:tcPr>
          <w:p w14:paraId="5A81A129" w14:textId="77777777" w:rsidR="00972D89" w:rsidRPr="006A451D" w:rsidRDefault="00972D89" w:rsidP="00353BF3">
            <w:pPr>
              <w:pStyle w:val="Akapitzlist"/>
              <w:numPr>
                <w:ilvl w:val="0"/>
                <w:numId w:val="4"/>
              </w:numPr>
              <w:spacing w:beforeLines="40" w:before="96" w:afterLines="40" w:after="96" w:line="240" w:lineRule="auto"/>
              <w:contextualSpacing w:val="0"/>
              <w:rPr>
                <w:rFonts w:ascii="Arial" w:hAnsi="Arial" w:cs="Arial"/>
                <w:sz w:val="16"/>
                <w:szCs w:val="16"/>
                <w:lang w:eastAsia="en-US"/>
              </w:rPr>
            </w:pPr>
            <w:r w:rsidRPr="006A451D">
              <w:rPr>
                <w:rFonts w:ascii="Arial" w:hAnsi="Arial" w:cs="Arial"/>
                <w:sz w:val="16"/>
                <w:szCs w:val="16"/>
                <w:lang w:eastAsia="en-US"/>
              </w:rPr>
              <w:t xml:space="preserve">zda je příjemce opatření financovaných z veřejných rozpočtů podnikem, </w:t>
            </w:r>
          </w:p>
        </w:tc>
        <w:tc>
          <w:tcPr>
            <w:tcW w:w="7509" w:type="dxa"/>
          </w:tcPr>
          <w:p w14:paraId="3A1091EA" w14:textId="77777777" w:rsidR="00972D89" w:rsidRPr="006A451D" w:rsidRDefault="00972D89" w:rsidP="00353BF3">
            <w:pPr>
              <w:pStyle w:val="Akapitzlist"/>
              <w:numPr>
                <w:ilvl w:val="0"/>
                <w:numId w:val="4"/>
              </w:numPr>
              <w:spacing w:beforeLines="40" w:before="96" w:afterLines="40" w:after="96" w:line="240" w:lineRule="auto"/>
              <w:contextualSpacing w:val="0"/>
              <w:rPr>
                <w:rFonts w:ascii="Arial" w:hAnsi="Arial" w:cs="Arial"/>
                <w:sz w:val="16"/>
                <w:szCs w:val="16"/>
                <w:lang w:val="pl-PL" w:eastAsia="en-US"/>
              </w:rPr>
            </w:pPr>
            <w:r w:rsidRPr="006A451D">
              <w:rPr>
                <w:rFonts w:ascii="Arial" w:hAnsi="Arial" w:cs="Arial"/>
                <w:sz w:val="16"/>
                <w:szCs w:val="16"/>
                <w:bdr w:val="nil"/>
                <w:lang w:val="pl-PL" w:eastAsia="en-US" w:bidi="pl-PL"/>
              </w:rPr>
              <w:t xml:space="preserve">czy beneficjent działań finansowanych z budżetu publicznego jest przedsiębiorstwem, </w:t>
            </w:r>
          </w:p>
        </w:tc>
      </w:tr>
      <w:tr w:rsidR="00972D89" w:rsidRPr="0013431E" w14:paraId="490AFC68" w14:textId="77777777" w:rsidTr="00E24D2A">
        <w:tc>
          <w:tcPr>
            <w:tcW w:w="6711" w:type="dxa"/>
          </w:tcPr>
          <w:p w14:paraId="16CDEF1F" w14:textId="77777777" w:rsidR="00972D89" w:rsidRPr="006A451D" w:rsidRDefault="00972D89" w:rsidP="00353BF3">
            <w:pPr>
              <w:pStyle w:val="Akapitzlist"/>
              <w:numPr>
                <w:ilvl w:val="0"/>
                <w:numId w:val="4"/>
              </w:numPr>
              <w:spacing w:beforeLines="40" w:before="96" w:afterLines="40" w:after="96" w:line="240" w:lineRule="auto"/>
              <w:contextualSpacing w:val="0"/>
              <w:rPr>
                <w:rFonts w:ascii="Arial" w:hAnsi="Arial" w:cs="Arial"/>
                <w:sz w:val="16"/>
                <w:szCs w:val="16"/>
                <w:lang w:eastAsia="en-US"/>
              </w:rPr>
            </w:pPr>
            <w:r w:rsidRPr="006A451D">
              <w:rPr>
                <w:rFonts w:ascii="Arial" w:hAnsi="Arial" w:cs="Arial"/>
                <w:sz w:val="16"/>
                <w:szCs w:val="16"/>
                <w:lang w:eastAsia="en-US"/>
              </w:rPr>
              <w:t xml:space="preserve">zda příslušné opatření tomuto podniku poskytuje výhodu a </w:t>
            </w:r>
          </w:p>
        </w:tc>
        <w:tc>
          <w:tcPr>
            <w:tcW w:w="7509" w:type="dxa"/>
          </w:tcPr>
          <w:p w14:paraId="755B424A" w14:textId="77777777" w:rsidR="00972D89" w:rsidRPr="006A451D" w:rsidRDefault="00972D89" w:rsidP="00353BF3">
            <w:pPr>
              <w:pStyle w:val="Akapitzlist"/>
              <w:numPr>
                <w:ilvl w:val="0"/>
                <w:numId w:val="4"/>
              </w:numPr>
              <w:spacing w:beforeLines="40" w:before="96" w:afterLines="40" w:after="96" w:line="240" w:lineRule="auto"/>
              <w:contextualSpacing w:val="0"/>
              <w:rPr>
                <w:rFonts w:ascii="Arial" w:hAnsi="Arial" w:cs="Arial"/>
                <w:sz w:val="16"/>
                <w:szCs w:val="16"/>
                <w:lang w:val="pl-PL" w:eastAsia="en-US"/>
              </w:rPr>
            </w:pPr>
            <w:r w:rsidRPr="006A451D">
              <w:rPr>
                <w:rFonts w:ascii="Arial" w:hAnsi="Arial" w:cs="Arial"/>
                <w:sz w:val="16"/>
                <w:szCs w:val="16"/>
                <w:bdr w:val="nil"/>
                <w:lang w:val="pl-PL" w:eastAsia="en-US" w:bidi="pl-PL"/>
              </w:rPr>
              <w:t xml:space="preserve">czy dane działania zapewniają przedsiębiorstwu korzyści oraz </w:t>
            </w:r>
          </w:p>
        </w:tc>
      </w:tr>
      <w:tr w:rsidR="00972D89" w:rsidRPr="0013431E" w14:paraId="65DFB2F4" w14:textId="77777777" w:rsidTr="00E24D2A">
        <w:tc>
          <w:tcPr>
            <w:tcW w:w="6711" w:type="dxa"/>
          </w:tcPr>
          <w:p w14:paraId="4581EE6F" w14:textId="77777777" w:rsidR="00972D89" w:rsidRPr="006A451D" w:rsidRDefault="00972D89" w:rsidP="00353BF3">
            <w:pPr>
              <w:pStyle w:val="Akapitzlist"/>
              <w:numPr>
                <w:ilvl w:val="0"/>
                <w:numId w:val="4"/>
              </w:numPr>
              <w:spacing w:beforeLines="40" w:before="96" w:afterLines="40" w:after="96" w:line="240" w:lineRule="auto"/>
              <w:contextualSpacing w:val="0"/>
              <w:rPr>
                <w:rFonts w:ascii="Arial" w:hAnsi="Arial" w:cs="Arial"/>
                <w:sz w:val="16"/>
                <w:szCs w:val="16"/>
                <w:lang w:eastAsia="en-US"/>
              </w:rPr>
            </w:pPr>
            <w:r w:rsidRPr="006A451D">
              <w:rPr>
                <w:rFonts w:ascii="Arial" w:hAnsi="Arial" w:cs="Arial"/>
                <w:sz w:val="16"/>
                <w:szCs w:val="16"/>
                <w:lang w:eastAsia="en-US"/>
              </w:rPr>
              <w:t xml:space="preserve">zda jsou pravidla pro poskytování finanční podpory selektivní, </w:t>
            </w:r>
          </w:p>
        </w:tc>
        <w:tc>
          <w:tcPr>
            <w:tcW w:w="7509" w:type="dxa"/>
          </w:tcPr>
          <w:p w14:paraId="24A4EB32" w14:textId="77777777" w:rsidR="00972D89" w:rsidRPr="006A451D" w:rsidRDefault="00972D89" w:rsidP="00353BF3">
            <w:pPr>
              <w:pStyle w:val="Akapitzlist"/>
              <w:numPr>
                <w:ilvl w:val="0"/>
                <w:numId w:val="4"/>
              </w:numPr>
              <w:spacing w:beforeLines="40" w:before="96" w:afterLines="40" w:after="96" w:line="240" w:lineRule="auto"/>
              <w:contextualSpacing w:val="0"/>
              <w:rPr>
                <w:rFonts w:ascii="Arial" w:hAnsi="Arial" w:cs="Arial"/>
                <w:sz w:val="16"/>
                <w:szCs w:val="16"/>
                <w:lang w:val="pl-PL" w:eastAsia="en-US"/>
              </w:rPr>
            </w:pPr>
            <w:r w:rsidRPr="006A451D">
              <w:rPr>
                <w:rFonts w:ascii="Arial" w:hAnsi="Arial" w:cs="Arial"/>
                <w:sz w:val="16"/>
                <w:szCs w:val="16"/>
                <w:bdr w:val="nil"/>
                <w:lang w:val="pl-PL" w:eastAsia="en-US" w:bidi="pl-PL"/>
              </w:rPr>
              <w:t xml:space="preserve">czy zasady udzielenia dofinansowania są selektywne, </w:t>
            </w:r>
          </w:p>
        </w:tc>
      </w:tr>
      <w:tr w:rsidR="00972D89" w:rsidRPr="0013431E" w14:paraId="4A3EABAC" w14:textId="77777777" w:rsidTr="00E24D2A">
        <w:tc>
          <w:tcPr>
            <w:tcW w:w="6711" w:type="dxa"/>
          </w:tcPr>
          <w:p w14:paraId="51E13A05" w14:textId="77777777" w:rsidR="00972D89" w:rsidRPr="006A451D" w:rsidRDefault="00972D89" w:rsidP="00353BF3">
            <w:pPr>
              <w:autoSpaceDE w:val="0"/>
              <w:autoSpaceDN w:val="0"/>
              <w:adjustRightInd w:val="0"/>
              <w:rPr>
                <w:rFonts w:cs="Arial"/>
              </w:rPr>
            </w:pPr>
            <w:r w:rsidRPr="006A451D">
              <w:rPr>
                <w:rFonts w:cs="Arial"/>
              </w:rPr>
              <w:t>přičemž je nutné kumulativní naplnění všech uvedených bodů.</w:t>
            </w:r>
          </w:p>
        </w:tc>
        <w:tc>
          <w:tcPr>
            <w:tcW w:w="7509" w:type="dxa"/>
          </w:tcPr>
          <w:p w14:paraId="487BA390" w14:textId="77777777" w:rsidR="00972D89" w:rsidRPr="006A451D" w:rsidRDefault="00972D89" w:rsidP="00353BF3">
            <w:pPr>
              <w:autoSpaceDE w:val="0"/>
              <w:autoSpaceDN w:val="0"/>
              <w:adjustRightInd w:val="0"/>
              <w:spacing w:after="120"/>
              <w:rPr>
                <w:rFonts w:cs="Arial"/>
                <w:lang w:val="pl-PL"/>
              </w:rPr>
            </w:pPr>
            <w:r w:rsidRPr="006A451D">
              <w:rPr>
                <w:rFonts w:eastAsia="Calibri" w:cs="Arial"/>
                <w:bdr w:val="nil"/>
                <w:lang w:val="pl-PL" w:bidi="pl-PL"/>
              </w:rPr>
              <w:t>przy czym konieczne jest spełnienie wszystkich powyższych punktów jednocześnie.</w:t>
            </w:r>
          </w:p>
        </w:tc>
      </w:tr>
      <w:tr w:rsidR="00972D89" w:rsidRPr="0013431E" w14:paraId="4C812F01" w14:textId="77777777" w:rsidTr="00E24D2A">
        <w:tc>
          <w:tcPr>
            <w:tcW w:w="6711" w:type="dxa"/>
          </w:tcPr>
          <w:p w14:paraId="614CAF96" w14:textId="1FD6FD3F" w:rsidR="00972D89" w:rsidRPr="006A451D" w:rsidRDefault="00972D89" w:rsidP="00353BF3">
            <w:pPr>
              <w:rPr>
                <w:rFonts w:cs="Arial"/>
              </w:rPr>
            </w:pPr>
            <w:r w:rsidRPr="006A451D">
              <w:rPr>
                <w:rFonts w:cs="Arial"/>
              </w:rPr>
              <w:t xml:space="preserve">Pojmem „podnik“ se rozumí jakákoli entita, která vykonává ekonomickou činnost, bez ohledu na její právní status nebo způsob, jakým je financována. Pro účely veřejné podpory v rámci programu </w:t>
            </w:r>
            <w:r w:rsidR="00955514" w:rsidRPr="00955514">
              <w:rPr>
                <w:rFonts w:cs="Arial"/>
              </w:rPr>
              <w:t>Interreg Česko – Polsko 2021-2027</w:t>
            </w:r>
            <w:r w:rsidRPr="006A451D">
              <w:rPr>
                <w:rFonts w:cs="Arial"/>
              </w:rPr>
              <w:t xml:space="preserve"> je tedy podnikem jakákoliv právnická osoba, jakož i každý veřejný orgán, buď se samostatnou právní subjektivitou, nebo spadající pod orgán veřejné moci, který takovou samostatnou právní subjektivitu má. Podstatné je, zda daný partner provozuje činnost, kterou lze považovat za ekonomickou či nikoliv. </w:t>
            </w:r>
          </w:p>
        </w:tc>
        <w:tc>
          <w:tcPr>
            <w:tcW w:w="7509" w:type="dxa"/>
          </w:tcPr>
          <w:p w14:paraId="55F8FFFB" w14:textId="07E3665F" w:rsidR="00972D89" w:rsidRPr="006A451D" w:rsidRDefault="00972D89" w:rsidP="00353BF3">
            <w:pPr>
              <w:spacing w:after="120"/>
              <w:rPr>
                <w:rFonts w:eastAsia="Calibri" w:cs="Arial"/>
                <w:bdr w:val="nil"/>
                <w:lang w:val="pl-PL" w:bidi="pl-PL"/>
              </w:rPr>
            </w:pPr>
            <w:r w:rsidRPr="006A451D">
              <w:rPr>
                <w:rFonts w:eastAsia="Calibri" w:cs="Arial"/>
                <w:bdr w:val="nil"/>
                <w:lang w:val="pl-PL" w:bidi="pl-PL"/>
              </w:rPr>
              <w:t xml:space="preserve">Pod pojęciem „przedsiębiorstwo” rozumiana jest jakakolwiek jednostka, która prowadzi działalność gospodarczą, bez względu na jej status prawny lub sposób finansowania. Na potrzeby pomocy publicznej w ramach Programu </w:t>
            </w:r>
            <w:r w:rsidR="00955514" w:rsidRPr="00955514">
              <w:rPr>
                <w:rFonts w:eastAsia="Calibri" w:cs="Arial"/>
                <w:bdr w:val="nil"/>
                <w:lang w:val="pl-PL" w:bidi="pl-PL"/>
              </w:rPr>
              <w:t>Interreg Czechy – Polska 2021-2027</w:t>
            </w:r>
            <w:r w:rsidR="00955514">
              <w:rPr>
                <w:rFonts w:eastAsia="Calibri" w:cs="Arial"/>
                <w:bdr w:val="nil"/>
                <w:lang w:val="pl-PL" w:bidi="pl-PL"/>
              </w:rPr>
              <w:t xml:space="preserve"> </w:t>
            </w:r>
            <w:r w:rsidRPr="006A451D">
              <w:rPr>
                <w:rFonts w:eastAsia="Calibri" w:cs="Arial"/>
                <w:bdr w:val="nil"/>
                <w:lang w:val="pl-PL" w:bidi="pl-PL"/>
              </w:rPr>
              <w:t xml:space="preserve">przedsiębiorstwem jest zatem dowolna osoba prawna, jak i instytucja publiczna, posiadająca samodzielną osobowość prawną lub też podlegająca instytucji publicznej, która taką osobowość posiada. Istotne jest to, czy dany partner prowadzi działalność, którą uznać można za działalność gospodarczą, czy też nie. </w:t>
            </w:r>
          </w:p>
        </w:tc>
      </w:tr>
      <w:tr w:rsidR="00972D89" w:rsidRPr="0013431E" w14:paraId="0771267F" w14:textId="77777777" w:rsidTr="00E24D2A">
        <w:tc>
          <w:tcPr>
            <w:tcW w:w="6711" w:type="dxa"/>
          </w:tcPr>
          <w:p w14:paraId="12F505A5" w14:textId="77777777" w:rsidR="00972D89" w:rsidRPr="006A451D" w:rsidRDefault="00972D89" w:rsidP="00353BF3">
            <w:pPr>
              <w:rPr>
                <w:rFonts w:cs="Arial"/>
              </w:rPr>
            </w:pPr>
            <w:r w:rsidRPr="006A451D">
              <w:rPr>
                <w:rFonts w:cs="Arial"/>
              </w:rPr>
              <w:lastRenderedPageBreak/>
              <w:t>„Ekonomickou činností“ se rozumí nabízení zboží a/nebo služeb na trhu. Ziskovost či neziskovost opatření (projektu), resp. zda je zboží či služba na trhu nabízena bezplatně, v tomto případě není rozhodující.</w:t>
            </w:r>
          </w:p>
        </w:tc>
        <w:tc>
          <w:tcPr>
            <w:tcW w:w="7509" w:type="dxa"/>
          </w:tcPr>
          <w:p w14:paraId="5CE63AF8" w14:textId="77777777" w:rsidR="00972D89" w:rsidRPr="006A451D" w:rsidRDefault="00972D89" w:rsidP="00353BF3">
            <w:pPr>
              <w:spacing w:after="120"/>
              <w:rPr>
                <w:rFonts w:cs="Arial"/>
                <w:lang w:val="pl-PL"/>
              </w:rPr>
            </w:pPr>
            <w:r w:rsidRPr="006A451D">
              <w:rPr>
                <w:rFonts w:eastAsia="Calibri" w:cs="Arial"/>
                <w:bdr w:val="nil"/>
                <w:lang w:val="pl-PL" w:bidi="pl-PL"/>
              </w:rPr>
              <w:t>Pod pojęciem „działalności gospodarczej” rozumiane jest oferowanie towarów i/lub usług na rynku. To czy działania (projektu) generują zysk i czy towar lub usługa oferowane są na rynku bezpłatnie, nie jest kryterium decydującym.</w:t>
            </w:r>
          </w:p>
        </w:tc>
      </w:tr>
      <w:tr w:rsidR="00972D89" w:rsidRPr="0013431E" w14:paraId="75639E14" w14:textId="77777777" w:rsidTr="00E24D2A">
        <w:tc>
          <w:tcPr>
            <w:tcW w:w="6711" w:type="dxa"/>
          </w:tcPr>
          <w:p w14:paraId="1ADE86EB" w14:textId="77777777" w:rsidR="00972D89" w:rsidRPr="006A451D" w:rsidRDefault="00972D89" w:rsidP="00353BF3">
            <w:pPr>
              <w:pStyle w:val="Default"/>
              <w:spacing w:after="80"/>
              <w:jc w:val="both"/>
              <w:rPr>
                <w:rFonts w:ascii="Arial" w:hAnsi="Arial" w:cs="Arial"/>
                <w:color w:val="auto"/>
                <w:sz w:val="16"/>
                <w:szCs w:val="16"/>
              </w:rPr>
            </w:pPr>
            <w:r w:rsidRPr="006A451D">
              <w:rPr>
                <w:rFonts w:ascii="Arial" w:hAnsi="Arial" w:cs="Arial"/>
                <w:color w:val="auto"/>
                <w:sz w:val="16"/>
                <w:szCs w:val="16"/>
              </w:rPr>
              <w:t xml:space="preserve">Z uvedených skutečností vyplývají následující závěry: </w:t>
            </w:r>
          </w:p>
        </w:tc>
        <w:tc>
          <w:tcPr>
            <w:tcW w:w="7509" w:type="dxa"/>
          </w:tcPr>
          <w:p w14:paraId="65EAA25C" w14:textId="77777777" w:rsidR="00972D89" w:rsidRPr="006A451D" w:rsidRDefault="00972D89" w:rsidP="00353BF3">
            <w:pPr>
              <w:pStyle w:val="Default"/>
              <w:spacing w:after="120"/>
              <w:jc w:val="both"/>
              <w:rPr>
                <w:rFonts w:ascii="Arial" w:hAnsi="Arial" w:cs="Arial"/>
                <w:color w:val="auto"/>
                <w:sz w:val="16"/>
                <w:szCs w:val="16"/>
                <w:lang w:val="pl-PL"/>
              </w:rPr>
            </w:pPr>
            <w:r w:rsidRPr="006A451D">
              <w:rPr>
                <w:rFonts w:ascii="Arial" w:hAnsi="Arial" w:cs="Arial"/>
                <w:color w:val="auto"/>
                <w:sz w:val="16"/>
                <w:szCs w:val="16"/>
                <w:bdr w:val="nil"/>
                <w:lang w:val="pl-PL" w:bidi="pl-PL"/>
              </w:rPr>
              <w:t xml:space="preserve">Z powyższego wynikają następujące wnioski: </w:t>
            </w:r>
          </w:p>
        </w:tc>
      </w:tr>
      <w:tr w:rsidR="00972D89" w:rsidRPr="0013431E" w14:paraId="61C53EB8" w14:textId="77777777" w:rsidTr="00E24D2A">
        <w:tc>
          <w:tcPr>
            <w:tcW w:w="6711" w:type="dxa"/>
          </w:tcPr>
          <w:p w14:paraId="09B44C5F" w14:textId="39DB0E19" w:rsidR="00972D89" w:rsidRPr="006A451D" w:rsidRDefault="00972D89" w:rsidP="00353BF3">
            <w:pPr>
              <w:pStyle w:val="Akapitzlist"/>
              <w:numPr>
                <w:ilvl w:val="0"/>
                <w:numId w:val="4"/>
              </w:numPr>
              <w:spacing w:beforeLines="40" w:before="96" w:afterLines="40" w:after="96" w:line="240" w:lineRule="auto"/>
              <w:contextualSpacing w:val="0"/>
              <w:rPr>
                <w:rFonts w:ascii="Arial" w:hAnsi="Arial" w:cs="Arial"/>
                <w:sz w:val="16"/>
                <w:szCs w:val="16"/>
                <w:lang w:eastAsia="en-US"/>
              </w:rPr>
            </w:pPr>
            <w:r w:rsidRPr="006A451D">
              <w:rPr>
                <w:rFonts w:ascii="Arial" w:hAnsi="Arial" w:cs="Arial"/>
                <w:sz w:val="16"/>
                <w:szCs w:val="16"/>
                <w:lang w:eastAsia="en-US"/>
              </w:rPr>
              <w:t xml:space="preserve">není rozhodující status podniku podle národní legislativy. Mohou to být podniky řídící se právem veřejným i právem soukromým. Stejně tak nerozhoduje, komu patří kapitál takových podniků atd. </w:t>
            </w:r>
          </w:p>
        </w:tc>
        <w:tc>
          <w:tcPr>
            <w:tcW w:w="7509" w:type="dxa"/>
          </w:tcPr>
          <w:p w14:paraId="64E28996" w14:textId="77777777" w:rsidR="00972D89" w:rsidRPr="006A451D" w:rsidRDefault="00972D89" w:rsidP="00353BF3">
            <w:pPr>
              <w:pStyle w:val="Default"/>
              <w:numPr>
                <w:ilvl w:val="0"/>
                <w:numId w:val="6"/>
              </w:numPr>
              <w:spacing w:after="120"/>
              <w:jc w:val="both"/>
              <w:rPr>
                <w:rFonts w:ascii="Arial" w:hAnsi="Arial" w:cs="Arial"/>
                <w:color w:val="auto"/>
                <w:sz w:val="16"/>
                <w:szCs w:val="16"/>
                <w:lang w:val="pl-PL"/>
              </w:rPr>
            </w:pPr>
            <w:r w:rsidRPr="006A451D">
              <w:rPr>
                <w:rFonts w:ascii="Arial" w:hAnsi="Arial" w:cs="Arial"/>
                <w:color w:val="auto"/>
                <w:sz w:val="16"/>
                <w:szCs w:val="16"/>
                <w:bdr w:val="nil"/>
                <w:lang w:val="pl-PL" w:bidi="pl-PL"/>
              </w:rPr>
              <w:t xml:space="preserve">nie ma znaczenia status przedsiębiorstwa definiowany według ustawodawstwa krajowego. Mogą to być przedsiębiorstwa podlegające prawu publicznemu lub prawu prywatnemu. Nie jest również istotne, do kogo należy kapitał takich przedsiębiorstw itp. </w:t>
            </w:r>
          </w:p>
        </w:tc>
      </w:tr>
      <w:tr w:rsidR="00972D89" w:rsidRPr="0013431E" w14:paraId="05A07772" w14:textId="77777777" w:rsidTr="00E24D2A">
        <w:tc>
          <w:tcPr>
            <w:tcW w:w="6711" w:type="dxa"/>
          </w:tcPr>
          <w:p w14:paraId="67040304" w14:textId="77777777" w:rsidR="00972D89" w:rsidRPr="006A451D" w:rsidRDefault="00972D89" w:rsidP="00353BF3">
            <w:pPr>
              <w:pStyle w:val="Akapitzlist"/>
              <w:numPr>
                <w:ilvl w:val="0"/>
                <w:numId w:val="4"/>
              </w:numPr>
              <w:spacing w:beforeLines="40" w:before="96" w:afterLines="40" w:after="96" w:line="240" w:lineRule="auto"/>
              <w:contextualSpacing w:val="0"/>
              <w:rPr>
                <w:rFonts w:ascii="Arial" w:hAnsi="Arial" w:cs="Arial"/>
                <w:sz w:val="16"/>
                <w:szCs w:val="16"/>
                <w:lang w:eastAsia="en-US"/>
              </w:rPr>
            </w:pPr>
            <w:r w:rsidRPr="006A451D">
              <w:rPr>
                <w:rFonts w:ascii="Arial" w:hAnsi="Arial" w:cs="Arial"/>
                <w:sz w:val="16"/>
                <w:szCs w:val="16"/>
                <w:lang w:eastAsia="en-US"/>
              </w:rPr>
              <w:t xml:space="preserve">není rozhodující, zda příslušný podnik generuje zisk. I neziskové podniky mohou nabízet zboží a služby na trhu. </w:t>
            </w:r>
          </w:p>
        </w:tc>
        <w:tc>
          <w:tcPr>
            <w:tcW w:w="7509" w:type="dxa"/>
          </w:tcPr>
          <w:p w14:paraId="1FF4990E" w14:textId="77777777" w:rsidR="00972D89" w:rsidRPr="006A451D" w:rsidRDefault="00972D89" w:rsidP="00353BF3">
            <w:pPr>
              <w:pStyle w:val="Default"/>
              <w:numPr>
                <w:ilvl w:val="0"/>
                <w:numId w:val="6"/>
              </w:numPr>
              <w:spacing w:after="120"/>
              <w:jc w:val="both"/>
              <w:rPr>
                <w:rFonts w:ascii="Arial" w:hAnsi="Arial" w:cs="Arial"/>
                <w:color w:val="auto"/>
                <w:sz w:val="16"/>
                <w:szCs w:val="16"/>
                <w:lang w:val="pl-PL"/>
              </w:rPr>
            </w:pPr>
            <w:r w:rsidRPr="006A451D">
              <w:rPr>
                <w:rFonts w:ascii="Arial" w:hAnsi="Arial" w:cs="Arial"/>
                <w:color w:val="auto"/>
                <w:sz w:val="16"/>
                <w:szCs w:val="16"/>
                <w:bdr w:val="nil"/>
                <w:lang w:val="pl-PL" w:bidi="pl-PL"/>
              </w:rPr>
              <w:t xml:space="preserve">nieistotne jest to, czy dane przedsiębiorstwo generuje zysk. Również przedsiębiorstwa pożytku publicznego (nie generujące zysku) mogą oferować towary i usługi na rynku. </w:t>
            </w:r>
          </w:p>
        </w:tc>
      </w:tr>
      <w:tr w:rsidR="00972D89" w:rsidRPr="0013431E" w14:paraId="2B431EB2" w14:textId="77777777" w:rsidTr="00E24D2A">
        <w:tc>
          <w:tcPr>
            <w:tcW w:w="6711" w:type="dxa"/>
          </w:tcPr>
          <w:p w14:paraId="7812FD38" w14:textId="77777777" w:rsidR="00972D89" w:rsidRPr="006A451D" w:rsidRDefault="00972D89" w:rsidP="00353BF3">
            <w:pPr>
              <w:pStyle w:val="Akapitzlist"/>
              <w:numPr>
                <w:ilvl w:val="0"/>
                <w:numId w:val="4"/>
              </w:numPr>
              <w:spacing w:beforeLines="40" w:before="96" w:afterLines="40" w:after="96" w:line="240" w:lineRule="auto"/>
              <w:contextualSpacing w:val="0"/>
              <w:rPr>
                <w:rFonts w:ascii="Arial" w:hAnsi="Arial" w:cs="Arial"/>
                <w:sz w:val="16"/>
                <w:szCs w:val="16"/>
                <w:lang w:eastAsia="en-US"/>
              </w:rPr>
            </w:pPr>
            <w:r w:rsidRPr="006A451D">
              <w:rPr>
                <w:rFonts w:ascii="Arial" w:hAnsi="Arial" w:cs="Arial"/>
                <w:sz w:val="16"/>
                <w:szCs w:val="16"/>
                <w:lang w:eastAsia="en-US"/>
              </w:rPr>
              <w:t xml:space="preserve">rozhodující je pouze charakter konkrétní vykonávané činnosti, na kterou podpora směřuje, a to v rovině, zda jde o činnost ekonomickou. Pokud subjekt vykonává činnosti jak ekonomické, tak neekonomické, považuje se za podnik pouze v souvislosti s ekonomickými činnostmi, na které podpora směřuje. </w:t>
            </w:r>
          </w:p>
        </w:tc>
        <w:tc>
          <w:tcPr>
            <w:tcW w:w="7509" w:type="dxa"/>
          </w:tcPr>
          <w:p w14:paraId="0B893F03" w14:textId="77777777" w:rsidR="00972D89" w:rsidRPr="006A451D" w:rsidRDefault="00972D89" w:rsidP="00353BF3">
            <w:pPr>
              <w:pStyle w:val="Default"/>
              <w:numPr>
                <w:ilvl w:val="0"/>
                <w:numId w:val="6"/>
              </w:numPr>
              <w:spacing w:after="120"/>
              <w:jc w:val="both"/>
              <w:rPr>
                <w:rFonts w:ascii="Arial" w:hAnsi="Arial" w:cs="Arial"/>
                <w:color w:val="auto"/>
                <w:sz w:val="16"/>
                <w:szCs w:val="16"/>
                <w:lang w:val="pl-PL"/>
              </w:rPr>
            </w:pPr>
            <w:r w:rsidRPr="006A451D">
              <w:rPr>
                <w:rFonts w:ascii="Arial" w:hAnsi="Arial" w:cs="Arial"/>
                <w:color w:val="auto"/>
                <w:sz w:val="16"/>
                <w:szCs w:val="16"/>
                <w:bdr w:val="nil"/>
                <w:lang w:val="pl-PL" w:bidi="pl-PL"/>
              </w:rPr>
              <w:t xml:space="preserve">decydujący jest wyłącznie gospodarczy lub niegospodarczy charakter konkretnej wykonywanej działalności, na którą zorientowane jest wsparcie. Jeżeli podmiot prowadzi zarówno działalność gospodarczą, jak i niegospodarczą, uznaje się go za przedsiębiorstwo wyłącznie w kontekście działalności gospodarczej, na którą przeznaczone jest wsparcie. </w:t>
            </w:r>
          </w:p>
        </w:tc>
      </w:tr>
      <w:tr w:rsidR="00972D89" w:rsidRPr="0013431E" w14:paraId="5E890C9C" w14:textId="77777777" w:rsidTr="00E24D2A">
        <w:tc>
          <w:tcPr>
            <w:tcW w:w="6711" w:type="dxa"/>
          </w:tcPr>
          <w:p w14:paraId="48FD6CE1" w14:textId="77777777" w:rsidR="00972D89" w:rsidRPr="006A451D" w:rsidRDefault="00972D89" w:rsidP="00353BF3">
            <w:pPr>
              <w:autoSpaceDE w:val="0"/>
              <w:autoSpaceDN w:val="0"/>
              <w:adjustRightInd w:val="0"/>
              <w:rPr>
                <w:rFonts w:cs="Arial"/>
              </w:rPr>
            </w:pPr>
            <w:r w:rsidRPr="006A451D">
              <w:rPr>
                <w:rFonts w:cs="Arial"/>
              </w:rPr>
              <w:t>Naproti tomu aktivity spojené s výkonem veřejné správy se za ekonomické aktivity nepovažují. Jedná se např. o spolupráci mezi kompetentními orgány veřejné správy, činnosti spojené s veřejným systémem školství, tvorba koncepčních studií, analýz, budování obecně přístupné infrastruktury za přispění veřejných zdrojů, činnost spolků bez poskytování ekonomických aktivit apod.</w:t>
            </w:r>
          </w:p>
        </w:tc>
        <w:tc>
          <w:tcPr>
            <w:tcW w:w="7509" w:type="dxa"/>
          </w:tcPr>
          <w:p w14:paraId="3D46C1E4" w14:textId="77777777" w:rsidR="00972D89" w:rsidRPr="006A451D" w:rsidRDefault="00972D89" w:rsidP="00353BF3">
            <w:pPr>
              <w:autoSpaceDE w:val="0"/>
              <w:autoSpaceDN w:val="0"/>
              <w:adjustRightInd w:val="0"/>
              <w:spacing w:after="120"/>
              <w:rPr>
                <w:rFonts w:cs="Arial"/>
                <w:lang w:val="pl-PL"/>
              </w:rPr>
            </w:pPr>
            <w:r w:rsidRPr="006A451D">
              <w:rPr>
                <w:rFonts w:eastAsia="Calibri" w:cs="Arial"/>
                <w:bdr w:val="nil"/>
                <w:lang w:val="pl-PL" w:bidi="pl-PL"/>
              </w:rPr>
              <w:t>Z kolei działalności związanej z zadaniami administracji publicznej nie uznaje się za gospodarczą. Chodzi tu na przykład o współpracę między kompetentnymi instytucjami administracji publicznej, działalność związaną z publicznym systemem szkolnictwa, tworzenie opracowań studyjnych, analiz, budowanie ogólnodostępnej infrastruktury dzięki wsparciu z zasobów publicznych, działalność stowarzyszeń bez prowadzenia działalności gospodarczej itp.</w:t>
            </w:r>
          </w:p>
        </w:tc>
      </w:tr>
      <w:tr w:rsidR="00972D89" w:rsidRPr="0013431E" w14:paraId="765572F6" w14:textId="77777777" w:rsidTr="00E24D2A">
        <w:tc>
          <w:tcPr>
            <w:tcW w:w="6711" w:type="dxa"/>
          </w:tcPr>
          <w:p w14:paraId="4AB5B322" w14:textId="77777777" w:rsidR="00972D89" w:rsidRPr="006A451D" w:rsidRDefault="00972D89" w:rsidP="00353BF3">
            <w:pPr>
              <w:autoSpaceDE w:val="0"/>
              <w:autoSpaceDN w:val="0"/>
              <w:adjustRightInd w:val="0"/>
              <w:rPr>
                <w:rFonts w:cs="Arial"/>
              </w:rPr>
            </w:pPr>
            <w:r w:rsidRPr="006A451D">
              <w:rPr>
                <w:rFonts w:cs="Arial"/>
              </w:rPr>
              <w:t>„Zvýhodnění“ představuje stav, který by za běžných tržních podmínek nenastal. Ke zvýhodnění dochází už tehdy, kdy podpora snižuje náklady, které by musel projektový partner za běžného fungování nést ze svého rozpočtu.</w:t>
            </w:r>
          </w:p>
        </w:tc>
        <w:tc>
          <w:tcPr>
            <w:tcW w:w="7509" w:type="dxa"/>
          </w:tcPr>
          <w:p w14:paraId="37A5FFDC" w14:textId="77777777" w:rsidR="00972D89" w:rsidRPr="006A451D" w:rsidRDefault="00972D89" w:rsidP="00353BF3">
            <w:pPr>
              <w:autoSpaceDE w:val="0"/>
              <w:autoSpaceDN w:val="0"/>
              <w:adjustRightInd w:val="0"/>
              <w:spacing w:after="120"/>
              <w:rPr>
                <w:rFonts w:cs="Arial"/>
                <w:lang w:val="pl-PL"/>
              </w:rPr>
            </w:pPr>
            <w:r w:rsidRPr="006A451D">
              <w:rPr>
                <w:rFonts w:eastAsia="Calibri" w:cs="Arial"/>
                <w:bdr w:val="nil"/>
                <w:lang w:val="pl-PL" w:bidi="pl-PL"/>
              </w:rPr>
              <w:t>Pod pojęciem „korzyści” rozumiane są okoliczności/status przedsiębiorstwa, które nie byłyby możliwe do osiągnięcia w standardowych warunkach rynkowych. Do korzyści dochodzi już w momencie obniżenia kosztów, które partner projektu w standardowych warunkach musiałby ponieść ze swego własnego budżetu.</w:t>
            </w:r>
          </w:p>
        </w:tc>
      </w:tr>
      <w:tr w:rsidR="00972D89" w:rsidRPr="0013431E" w14:paraId="7AA81648" w14:textId="77777777" w:rsidTr="00E24D2A">
        <w:tc>
          <w:tcPr>
            <w:tcW w:w="6711" w:type="dxa"/>
          </w:tcPr>
          <w:p w14:paraId="4728319E" w14:textId="6C79F4FB" w:rsidR="00972D89" w:rsidRPr="006A451D" w:rsidRDefault="00972D89" w:rsidP="00353BF3">
            <w:pPr>
              <w:autoSpaceDE w:val="0"/>
              <w:autoSpaceDN w:val="0"/>
              <w:adjustRightInd w:val="0"/>
              <w:rPr>
                <w:rFonts w:cs="Arial"/>
              </w:rPr>
            </w:pPr>
            <w:r w:rsidRPr="006A451D">
              <w:rPr>
                <w:rFonts w:cs="Arial"/>
              </w:rPr>
              <w:t xml:space="preserve">Selektivní opatření pak je takové, které není aplikováno vůči všem podnikům na trhu stejně a nelze jej tedy označit za obecné opatření. Kritérium selektivity je u programu </w:t>
            </w:r>
            <w:r w:rsidR="00955514" w:rsidRPr="00955514">
              <w:rPr>
                <w:rFonts w:cs="Arial"/>
              </w:rPr>
              <w:t>Interreg Česko – Polsko 2021-2027</w:t>
            </w:r>
            <w:r w:rsidR="00955514" w:rsidRPr="006A451D">
              <w:rPr>
                <w:rFonts w:cs="Arial"/>
              </w:rPr>
              <w:t xml:space="preserve"> </w:t>
            </w:r>
            <w:r w:rsidRPr="006A451D">
              <w:rPr>
                <w:rFonts w:cs="Arial"/>
              </w:rPr>
              <w:t>vzhledem k mechanismu hodnocení a výběru jednotlivých projektů k podpoře splněno vždy.</w:t>
            </w:r>
          </w:p>
        </w:tc>
        <w:tc>
          <w:tcPr>
            <w:tcW w:w="7509" w:type="dxa"/>
          </w:tcPr>
          <w:p w14:paraId="6C0443C0" w14:textId="53526920" w:rsidR="00972D89" w:rsidRPr="006A451D" w:rsidRDefault="00972D89" w:rsidP="00353BF3">
            <w:pPr>
              <w:autoSpaceDE w:val="0"/>
              <w:autoSpaceDN w:val="0"/>
              <w:adjustRightInd w:val="0"/>
              <w:spacing w:after="120"/>
              <w:rPr>
                <w:rFonts w:eastAsia="Calibri" w:cs="Arial"/>
                <w:bdr w:val="nil"/>
                <w:lang w:val="pl-PL" w:bidi="pl-PL"/>
              </w:rPr>
            </w:pPr>
            <w:r w:rsidRPr="006A451D">
              <w:rPr>
                <w:rFonts w:eastAsia="Calibri" w:cs="Arial"/>
                <w:bdr w:val="nil"/>
                <w:lang w:val="pl-PL" w:bidi="pl-PL"/>
              </w:rPr>
              <w:t xml:space="preserve">Działanie selektywne to takie, które nie jest skierowane do wszystkich przedsiębiorstw na rynku na tych samych warunkach, czyli nie go określić mianem działania ogólnego. Kryterium selektywności w przypadku programu </w:t>
            </w:r>
            <w:r w:rsidR="00863597" w:rsidRPr="00955514">
              <w:rPr>
                <w:rFonts w:eastAsia="Calibri" w:cs="Arial"/>
                <w:bdr w:val="nil"/>
                <w:lang w:val="pl-PL" w:bidi="pl-PL"/>
              </w:rPr>
              <w:t>Interreg Czechy – Polska 2021-2027</w:t>
            </w:r>
            <w:r w:rsidRPr="006A451D">
              <w:rPr>
                <w:rFonts w:eastAsia="Calibri" w:cs="Arial"/>
                <w:bdr w:val="nil"/>
                <w:lang w:val="pl-PL" w:bidi="pl-PL"/>
              </w:rPr>
              <w:t>, ze względu na mechanizm oceny i wyboru poszczególnych projektów do udzielenia dofinansowania, spełnione jest zawsze.</w:t>
            </w:r>
          </w:p>
        </w:tc>
      </w:tr>
      <w:tr w:rsidR="00972D89" w:rsidRPr="0013431E" w14:paraId="16383DF9" w14:textId="77777777" w:rsidTr="00E24D2A">
        <w:tc>
          <w:tcPr>
            <w:tcW w:w="6711" w:type="dxa"/>
          </w:tcPr>
          <w:p w14:paraId="1D6BB9FA" w14:textId="77777777" w:rsidR="00972D89" w:rsidRPr="006A451D" w:rsidRDefault="00972D89" w:rsidP="00353BF3">
            <w:pPr>
              <w:rPr>
                <w:rFonts w:cs="Arial"/>
                <w:b/>
              </w:rPr>
            </w:pPr>
            <w:r w:rsidRPr="006A451D">
              <w:rPr>
                <w:rFonts w:cs="Arial"/>
                <w:b/>
              </w:rPr>
              <w:t>Ad 3) Je narušena nebo hrozí narušení hospodářské soutěže?</w:t>
            </w:r>
          </w:p>
        </w:tc>
        <w:tc>
          <w:tcPr>
            <w:tcW w:w="7509" w:type="dxa"/>
          </w:tcPr>
          <w:p w14:paraId="48CA5C00" w14:textId="77777777" w:rsidR="00972D89" w:rsidRPr="006A451D" w:rsidRDefault="00972D89" w:rsidP="00353BF3">
            <w:pPr>
              <w:spacing w:after="120"/>
              <w:rPr>
                <w:rFonts w:cs="Arial"/>
                <w:b/>
                <w:lang w:val="pl-PL"/>
              </w:rPr>
            </w:pPr>
            <w:r w:rsidRPr="006A451D">
              <w:rPr>
                <w:rFonts w:eastAsia="Calibri" w:cs="Arial"/>
                <w:b/>
                <w:bCs/>
                <w:bdr w:val="nil"/>
                <w:lang w:val="pl-PL" w:bidi="pl-PL"/>
              </w:rPr>
              <w:t>Ad 3) Czy zasady uczciwej konkurencji zostały naruszone lub mogą zostać naruszone?</w:t>
            </w:r>
          </w:p>
        </w:tc>
      </w:tr>
      <w:tr w:rsidR="00972D89" w:rsidRPr="0013431E" w14:paraId="05BEAB83" w14:textId="77777777" w:rsidTr="00E24D2A">
        <w:tc>
          <w:tcPr>
            <w:tcW w:w="6711" w:type="dxa"/>
          </w:tcPr>
          <w:p w14:paraId="06AE485C" w14:textId="77777777" w:rsidR="00972D89" w:rsidRPr="006A451D" w:rsidRDefault="00972D89" w:rsidP="00353BF3">
            <w:pPr>
              <w:rPr>
                <w:rFonts w:cs="Arial"/>
              </w:rPr>
            </w:pPr>
            <w:r w:rsidRPr="006A451D">
              <w:rPr>
                <w:rFonts w:cs="Arial"/>
              </w:rPr>
              <w:t xml:space="preserve">Dle výkladu orgánů EU dochází k narušení hospodářské soutěže tehdy, pokud opatření posílí postavení příjemce podpory oproti jeho konkurentům. K naplnění tohoto znaku postačuje již hrozba narušení hospodářské soutěže, která ovšem musí být reálná, tj. založená na objektivních předpokladech a prokázání souvislosti mezi poskytnutím veřejné podpory a ohrožením hospodářské soutěže. </w:t>
            </w:r>
          </w:p>
        </w:tc>
        <w:tc>
          <w:tcPr>
            <w:tcW w:w="7509" w:type="dxa"/>
          </w:tcPr>
          <w:p w14:paraId="671AAF29" w14:textId="77777777" w:rsidR="00972D89" w:rsidRPr="006A451D" w:rsidRDefault="00972D89" w:rsidP="00353BF3">
            <w:pPr>
              <w:rPr>
                <w:rFonts w:eastAsia="Calibri" w:cs="Arial"/>
                <w:bdr w:val="nil"/>
                <w:lang w:val="pl-PL" w:bidi="pl-PL"/>
              </w:rPr>
            </w:pPr>
            <w:r w:rsidRPr="006A451D">
              <w:rPr>
                <w:rFonts w:eastAsia="Calibri" w:cs="Arial"/>
                <w:bdr w:val="nil"/>
                <w:lang w:val="pl-PL" w:bidi="pl-PL"/>
              </w:rPr>
              <w:t xml:space="preserve">Zgodnie z interpretacją instytucji UE, do naruszenia zasad uczciwej konkurencji dochodzi wówczas, gdy działania wzmacniają pozycję beneficjenta pomocy w porównaniu do jego konkurentów. Do spełnienia tego kryterium wystarczy samo ryzyko naruszenia zasad uczciwej konkurencji, które jest prawdopodobne, tj. oparte na obiektywnych uwarunkowaniach, oraz to, że wykazano związek między udzieleniem wsparcia publicznego a zagrożeniem zasad uczciwej konkurencji. </w:t>
            </w:r>
          </w:p>
        </w:tc>
      </w:tr>
      <w:tr w:rsidR="00972D89" w:rsidRPr="0013431E" w14:paraId="3140BA1A" w14:textId="77777777" w:rsidTr="00E24D2A">
        <w:tc>
          <w:tcPr>
            <w:tcW w:w="6711" w:type="dxa"/>
          </w:tcPr>
          <w:p w14:paraId="7EC67E7A" w14:textId="77777777" w:rsidR="00972D89" w:rsidRPr="006A451D" w:rsidRDefault="00972D89" w:rsidP="00353BF3">
            <w:pPr>
              <w:rPr>
                <w:rFonts w:cs="Arial"/>
                <w:b/>
              </w:rPr>
            </w:pPr>
            <w:r w:rsidRPr="006A451D">
              <w:rPr>
                <w:rFonts w:cs="Arial"/>
                <w:b/>
              </w:rPr>
              <w:t xml:space="preserve">Ad 4) Je ovlivněn obchod mezi členskými státy? </w:t>
            </w:r>
          </w:p>
        </w:tc>
        <w:tc>
          <w:tcPr>
            <w:tcW w:w="7509" w:type="dxa"/>
          </w:tcPr>
          <w:p w14:paraId="1FEF0FE0" w14:textId="77777777" w:rsidR="00972D89" w:rsidRPr="006A451D" w:rsidRDefault="00972D89" w:rsidP="00353BF3">
            <w:pPr>
              <w:spacing w:after="120"/>
              <w:rPr>
                <w:rFonts w:cs="Arial"/>
                <w:b/>
                <w:lang w:val="pl-PL"/>
              </w:rPr>
            </w:pPr>
            <w:r w:rsidRPr="006A451D">
              <w:rPr>
                <w:rFonts w:eastAsia="Calibri" w:cs="Arial"/>
                <w:b/>
                <w:bCs/>
                <w:bdr w:val="nil"/>
                <w:lang w:val="pl-PL" w:bidi="pl-PL"/>
              </w:rPr>
              <w:t xml:space="preserve">Ad 4) Czy dotacja wywiera wpływ na handel między państwami członkowskimi? </w:t>
            </w:r>
          </w:p>
        </w:tc>
      </w:tr>
      <w:tr w:rsidR="00972D89" w:rsidRPr="0013431E" w14:paraId="7FB288F0" w14:textId="77777777" w:rsidTr="00E24D2A">
        <w:tc>
          <w:tcPr>
            <w:tcW w:w="6711" w:type="dxa"/>
          </w:tcPr>
          <w:p w14:paraId="1B3033FD" w14:textId="77777777" w:rsidR="00972D89" w:rsidRPr="006A451D" w:rsidRDefault="00972D89" w:rsidP="00353BF3">
            <w:pPr>
              <w:autoSpaceDE w:val="0"/>
              <w:autoSpaceDN w:val="0"/>
              <w:adjustRightInd w:val="0"/>
              <w:rPr>
                <w:rFonts w:cs="Arial"/>
              </w:rPr>
            </w:pPr>
            <w:r w:rsidRPr="006A451D">
              <w:rPr>
                <w:rFonts w:cs="Arial"/>
              </w:rPr>
              <w:t>Ovlivnění obchodu je třeba chápat ve smyslu výměny zboží, služeb mezi členskými státy EU. Není stanovena žádná hranice pro výši podpory, kdy by již konkrétní opatření ovlivňovalo či neovlivňovalo obchod mezi členskými státy. Z judikatury EU vyplývá, že i malá částka či malá velikost příjemce veřejné podpory může ovlivnit trh mezi členskými státy.</w:t>
            </w:r>
          </w:p>
        </w:tc>
        <w:tc>
          <w:tcPr>
            <w:tcW w:w="7509" w:type="dxa"/>
          </w:tcPr>
          <w:p w14:paraId="234741C3" w14:textId="77777777" w:rsidR="00972D89" w:rsidRPr="006A451D" w:rsidRDefault="00972D89" w:rsidP="00353BF3">
            <w:pPr>
              <w:autoSpaceDE w:val="0"/>
              <w:autoSpaceDN w:val="0"/>
              <w:adjustRightInd w:val="0"/>
              <w:spacing w:after="120"/>
              <w:rPr>
                <w:rFonts w:cs="Arial"/>
                <w:lang w:val="pl-PL"/>
              </w:rPr>
            </w:pPr>
            <w:r w:rsidRPr="006A451D">
              <w:rPr>
                <w:rFonts w:eastAsia="Calibri" w:cs="Arial"/>
                <w:bdr w:val="nil"/>
                <w:lang w:val="pl-PL" w:bidi="pl-PL"/>
              </w:rPr>
              <w:t>Wpływ na stosunki handlowe między państwami członkowskimi należy rozumieć w kontekście wymiany towarów i usług między państwami członkowskimi UE. Nie ustalono żadnego limitu wartości dotacji, od którego konkretne działanie miałoby lub nie miało wpływu na handel między państwami członkowskimi. Z orzecznictwa UE wynika, że nawet niewielka kwota lub niewielka liczba beneficjentów dotacji może mieć wpływ na stosunki handlowe między państwami członkowskimi.</w:t>
            </w:r>
          </w:p>
        </w:tc>
      </w:tr>
      <w:tr w:rsidR="00972D89" w:rsidRPr="0013431E" w14:paraId="3939811D" w14:textId="77777777" w:rsidTr="00E24D2A">
        <w:tc>
          <w:tcPr>
            <w:tcW w:w="6711" w:type="dxa"/>
          </w:tcPr>
          <w:p w14:paraId="7F3C5ABE" w14:textId="77777777" w:rsidR="00972D89" w:rsidRPr="006A451D" w:rsidRDefault="00972D89" w:rsidP="00353BF3">
            <w:pPr>
              <w:autoSpaceDE w:val="0"/>
              <w:autoSpaceDN w:val="0"/>
              <w:adjustRightInd w:val="0"/>
              <w:rPr>
                <w:rFonts w:cs="Arial"/>
              </w:rPr>
            </w:pPr>
            <w:r w:rsidRPr="006A451D">
              <w:rPr>
                <w:rFonts w:cs="Arial"/>
              </w:rPr>
              <w:lastRenderedPageBreak/>
              <w:t xml:space="preserve">K ovlivnění obchodu zpravidla nedochází, pokud má podpořené opatření (projekt) pouze lokální (regionální) charakter a/nebo je“ přitažlivé“ jen pro zeměpisně ohraničenou oblast. </w:t>
            </w:r>
          </w:p>
        </w:tc>
        <w:tc>
          <w:tcPr>
            <w:tcW w:w="7509" w:type="dxa"/>
          </w:tcPr>
          <w:p w14:paraId="49721918" w14:textId="77777777" w:rsidR="00972D89" w:rsidRPr="006A451D" w:rsidRDefault="00972D89" w:rsidP="00353BF3">
            <w:pPr>
              <w:autoSpaceDE w:val="0"/>
              <w:autoSpaceDN w:val="0"/>
              <w:adjustRightInd w:val="0"/>
              <w:spacing w:after="120"/>
              <w:rPr>
                <w:rFonts w:cs="Arial"/>
                <w:lang w:val="pl-PL"/>
              </w:rPr>
            </w:pPr>
            <w:r w:rsidRPr="006A451D">
              <w:rPr>
                <w:rFonts w:eastAsia="Calibri" w:cs="Arial"/>
                <w:bdr w:val="nil"/>
                <w:lang w:val="pl-PL" w:bidi="pl-PL"/>
              </w:rPr>
              <w:t xml:space="preserve">Wpływ na stosunki handlowe z reguły nie zachodzi, gdy działania (projekt), które otrzymały dofinansowanie, mają charakter wyłącznie lokalny (regionalny) i/lub są „atrakcyjne” tylko dla obszaru ograniczonego pod względem geograficznym. </w:t>
            </w:r>
          </w:p>
        </w:tc>
      </w:tr>
      <w:tr w:rsidR="00972D89" w:rsidRPr="0013431E" w14:paraId="396EA808" w14:textId="77777777" w:rsidTr="00E24D2A">
        <w:tc>
          <w:tcPr>
            <w:tcW w:w="6711" w:type="dxa"/>
          </w:tcPr>
          <w:p w14:paraId="1F007CAA" w14:textId="77777777" w:rsidR="00972D89" w:rsidRDefault="00972D89" w:rsidP="00353BF3">
            <w:pPr>
              <w:autoSpaceDE w:val="0"/>
              <w:autoSpaceDN w:val="0"/>
              <w:adjustRightInd w:val="0"/>
              <w:rPr>
                <w:rFonts w:cs="Arial"/>
              </w:rPr>
            </w:pPr>
            <w:r w:rsidRPr="006A451D">
              <w:rPr>
                <w:rFonts w:cs="Arial"/>
              </w:rPr>
              <w:t xml:space="preserve">V případě programu </w:t>
            </w:r>
            <w:r w:rsidR="00863597" w:rsidRPr="00955514">
              <w:rPr>
                <w:rFonts w:cs="Arial"/>
              </w:rPr>
              <w:t>Interreg Česko – Polsko 2021-2027</w:t>
            </w:r>
            <w:r w:rsidRPr="006A451D">
              <w:rPr>
                <w:rFonts w:cs="Arial"/>
              </w:rPr>
              <w:t xml:space="preserve"> je nutné tuto podmínku chápat ve smyslu jednoho společného přeshraničního regionu bez ohledu na existenci státní hranice mezi členskými státy. Podpořené opatření se považuje za lokální, pokud je určeno místnímu obyvatelstvu přeshraničního regionu a nemá za cíl přilákat zahraniční návštěvníky z celého členského státu či jiných členských států.</w:t>
            </w:r>
          </w:p>
          <w:p w14:paraId="5D8636D1" w14:textId="77777777" w:rsidR="000415C8" w:rsidRDefault="000415C8" w:rsidP="00353BF3">
            <w:pPr>
              <w:autoSpaceDE w:val="0"/>
              <w:autoSpaceDN w:val="0"/>
              <w:adjustRightInd w:val="0"/>
              <w:rPr>
                <w:rFonts w:cs="Arial"/>
              </w:rPr>
            </w:pPr>
          </w:p>
          <w:p w14:paraId="53D33F6C" w14:textId="77777777" w:rsidR="000415C8" w:rsidRPr="000415C8" w:rsidRDefault="000415C8" w:rsidP="000415C8">
            <w:pPr>
              <w:autoSpaceDE w:val="0"/>
              <w:autoSpaceDN w:val="0"/>
              <w:adjustRightInd w:val="0"/>
              <w:rPr>
                <w:rFonts w:cs="Arial"/>
              </w:rPr>
            </w:pPr>
            <w:r w:rsidRPr="000415C8">
              <w:rPr>
                <w:rFonts w:cs="Arial"/>
              </w:rPr>
              <w:t>Program nemůže poskytnou veřejnou podporu:</w:t>
            </w:r>
          </w:p>
          <w:p w14:paraId="0CAD36EE" w14:textId="77777777" w:rsidR="000415C8" w:rsidRPr="000415C8" w:rsidRDefault="000415C8" w:rsidP="000415C8">
            <w:pPr>
              <w:autoSpaceDE w:val="0"/>
              <w:autoSpaceDN w:val="0"/>
              <w:adjustRightInd w:val="0"/>
              <w:rPr>
                <w:rFonts w:cs="Arial"/>
              </w:rPr>
            </w:pPr>
            <w:r w:rsidRPr="000415C8">
              <w:rPr>
                <w:rFonts w:cs="Arial"/>
              </w:rPr>
              <w:t>- podnikům v obtížích čl. 1 odst. 4, písm. c) nařízení Komise (EU) č. 651/2014, tzv. obecné nařízení o blokových výjimkách (dále jen „GBER“);</w:t>
            </w:r>
          </w:p>
          <w:p w14:paraId="2E470726" w14:textId="77777777" w:rsidR="000415C8" w:rsidRDefault="000415C8" w:rsidP="000415C8">
            <w:pPr>
              <w:autoSpaceDE w:val="0"/>
              <w:autoSpaceDN w:val="0"/>
              <w:adjustRightInd w:val="0"/>
              <w:rPr>
                <w:rFonts w:cs="Arial"/>
              </w:rPr>
            </w:pPr>
            <w:r w:rsidRPr="000415C8">
              <w:rPr>
                <w:rFonts w:cs="Arial"/>
              </w:rPr>
              <w:t>- žadateli, vůči kterému byl vystaven inkasní příkaz v návaznosti na rozhodnutí Komise EU, jímž je podpora prohlášena za protiprávní a neslučitelnou s vnitřním trhem.</w:t>
            </w:r>
          </w:p>
          <w:p w14:paraId="2CA23596" w14:textId="77777777" w:rsidR="000415C8" w:rsidRDefault="000415C8" w:rsidP="000415C8">
            <w:pPr>
              <w:autoSpaceDE w:val="0"/>
              <w:autoSpaceDN w:val="0"/>
              <w:adjustRightInd w:val="0"/>
              <w:rPr>
                <w:rFonts w:cs="Arial"/>
              </w:rPr>
            </w:pPr>
          </w:p>
          <w:p w14:paraId="31B4E327" w14:textId="77777777" w:rsidR="000415C8" w:rsidRDefault="000415C8" w:rsidP="000415C8">
            <w:pPr>
              <w:autoSpaceDE w:val="0"/>
              <w:autoSpaceDN w:val="0"/>
              <w:adjustRightInd w:val="0"/>
              <w:rPr>
                <w:rFonts w:cs="Arial"/>
                <w:b/>
                <w:bCs/>
              </w:rPr>
            </w:pPr>
            <w:r w:rsidRPr="000415C8">
              <w:rPr>
                <w:rFonts w:cs="Arial"/>
                <w:b/>
                <w:bCs/>
              </w:rPr>
              <w:t>Posuzování veřejné podpory</w:t>
            </w:r>
          </w:p>
          <w:p w14:paraId="24741F56" w14:textId="77777777" w:rsidR="000415C8" w:rsidRDefault="000415C8" w:rsidP="000415C8">
            <w:pPr>
              <w:autoSpaceDE w:val="0"/>
              <w:autoSpaceDN w:val="0"/>
              <w:adjustRightInd w:val="0"/>
              <w:rPr>
                <w:rFonts w:cs="Arial"/>
                <w:b/>
                <w:bCs/>
              </w:rPr>
            </w:pPr>
          </w:p>
          <w:p w14:paraId="131E4403" w14:textId="77777777" w:rsidR="000415C8" w:rsidRDefault="00B32277" w:rsidP="000415C8">
            <w:pPr>
              <w:autoSpaceDE w:val="0"/>
              <w:autoSpaceDN w:val="0"/>
              <w:adjustRightInd w:val="0"/>
              <w:rPr>
                <w:rFonts w:cs="Arial"/>
              </w:rPr>
            </w:pPr>
            <w:r w:rsidRPr="00B32277">
              <w:rPr>
                <w:rFonts w:cs="Arial"/>
              </w:rPr>
              <w:t>Soulad s pravidly veřejné podpory je posuzován v rámci kontroly žádosti o podporu. JS při kontrole žádosti o podporu posuzuje riziko veřejné podpory na základě výše uvedených 4 definičních znaků veřejné podpory.</w:t>
            </w:r>
          </w:p>
          <w:p w14:paraId="79793EDD" w14:textId="77777777" w:rsidR="00B32277" w:rsidRDefault="00B32277" w:rsidP="000415C8">
            <w:pPr>
              <w:autoSpaceDE w:val="0"/>
              <w:autoSpaceDN w:val="0"/>
              <w:adjustRightInd w:val="0"/>
              <w:rPr>
                <w:rFonts w:cs="Arial"/>
              </w:rPr>
            </w:pPr>
          </w:p>
          <w:p w14:paraId="48317B93" w14:textId="77777777" w:rsidR="00B32277" w:rsidRDefault="00B32277" w:rsidP="000415C8">
            <w:pPr>
              <w:autoSpaceDE w:val="0"/>
              <w:autoSpaceDN w:val="0"/>
              <w:adjustRightInd w:val="0"/>
              <w:rPr>
                <w:rFonts w:cs="Arial"/>
              </w:rPr>
            </w:pPr>
            <w:r w:rsidRPr="00B32277">
              <w:rPr>
                <w:rFonts w:cs="Arial"/>
              </w:rPr>
              <w:t>Možné případy z hlediska kontroly veřejné podpory v projektu:</w:t>
            </w:r>
          </w:p>
          <w:p w14:paraId="7D49A54A" w14:textId="77777777" w:rsidR="00B32277" w:rsidRDefault="00B32277" w:rsidP="00E24D2A">
            <w:pPr>
              <w:numPr>
                <w:ilvl w:val="0"/>
                <w:numId w:val="30"/>
              </w:numPr>
              <w:autoSpaceDE w:val="0"/>
              <w:autoSpaceDN w:val="0"/>
              <w:adjustRightInd w:val="0"/>
              <w:rPr>
                <w:rFonts w:cs="Arial"/>
              </w:rPr>
            </w:pPr>
            <w:r w:rsidRPr="00B32277">
              <w:rPr>
                <w:rFonts w:cs="Arial"/>
              </w:rPr>
              <w:t>veřejná podpora není identifikována – v tomto případě žádné další kroky ani podmínky projektu nejsou stanoveny</w:t>
            </w:r>
            <w:r>
              <w:rPr>
                <w:rFonts w:cs="Arial"/>
              </w:rPr>
              <w:t>,</w:t>
            </w:r>
          </w:p>
          <w:p w14:paraId="11FCE165" w14:textId="77777777" w:rsidR="00B32277" w:rsidRDefault="00B32277" w:rsidP="00E24D2A">
            <w:pPr>
              <w:numPr>
                <w:ilvl w:val="0"/>
                <w:numId w:val="30"/>
              </w:numPr>
              <w:autoSpaceDE w:val="0"/>
              <w:autoSpaceDN w:val="0"/>
              <w:adjustRightInd w:val="0"/>
              <w:rPr>
                <w:rFonts w:cs="Arial"/>
              </w:rPr>
            </w:pPr>
            <w:r w:rsidRPr="00B32277">
              <w:rPr>
                <w:rFonts w:cs="Arial"/>
              </w:rPr>
              <w:t>riziko je identifikováno a charakter aktivit projektu umožňuje aktivitu, u které bylo riziko identifikováno, vyjmout – JS po dohodě s žadatelem navrhne vyjmutí rizikových aktivit v rámci změny projektu,</w:t>
            </w:r>
          </w:p>
          <w:p w14:paraId="4061FE72" w14:textId="77777777" w:rsidR="00B32277" w:rsidRDefault="00B32277" w:rsidP="00E24D2A">
            <w:pPr>
              <w:numPr>
                <w:ilvl w:val="0"/>
                <w:numId w:val="30"/>
              </w:numPr>
              <w:autoSpaceDE w:val="0"/>
              <w:autoSpaceDN w:val="0"/>
              <w:adjustRightInd w:val="0"/>
              <w:rPr>
                <w:rFonts w:cs="Arial"/>
              </w:rPr>
            </w:pPr>
            <w:r w:rsidRPr="00B32277">
              <w:rPr>
                <w:rFonts w:cs="Arial"/>
              </w:rPr>
              <w:t>aktivity projektu zakládají veřejnou podporu a není možné tyto aktivity vyjmout – v tomto případě bude na základě charakteru aktivit projektu doporučeno použití buď pravidla de minimis nebo čl. 20 GBER nebo čl. 53 GBER, v případě že aktivity projektu zvýhodňují třetí stranu/y – aplikace GBER čl. 20a.</w:t>
            </w:r>
          </w:p>
          <w:p w14:paraId="395761A2" w14:textId="77777777" w:rsidR="00E24D2A" w:rsidRDefault="00E24D2A" w:rsidP="00E24D2A">
            <w:pPr>
              <w:numPr>
                <w:ilvl w:val="0"/>
                <w:numId w:val="31"/>
              </w:numPr>
              <w:autoSpaceDE w:val="0"/>
              <w:autoSpaceDN w:val="0"/>
              <w:adjustRightInd w:val="0"/>
              <w:rPr>
                <w:rFonts w:cs="Arial"/>
              </w:rPr>
            </w:pPr>
            <w:r w:rsidRPr="00E24D2A">
              <w:rPr>
                <w:rFonts w:cs="Arial"/>
              </w:rPr>
              <w:t>Použití podpory v rámci režimu de minimis</w:t>
            </w:r>
            <w:r>
              <w:rPr>
                <w:rFonts w:cs="Arial"/>
              </w:rPr>
              <w:t>.</w:t>
            </w:r>
          </w:p>
          <w:p w14:paraId="6E1B15BE" w14:textId="370CC8CB" w:rsidR="00E24D2A" w:rsidRPr="00B32277" w:rsidRDefault="00E24D2A" w:rsidP="00E24D2A">
            <w:pPr>
              <w:numPr>
                <w:ilvl w:val="0"/>
                <w:numId w:val="31"/>
              </w:numPr>
              <w:autoSpaceDE w:val="0"/>
              <w:autoSpaceDN w:val="0"/>
              <w:adjustRightInd w:val="0"/>
              <w:rPr>
                <w:rFonts w:cs="Arial"/>
              </w:rPr>
            </w:pPr>
            <w:r w:rsidRPr="00E24D2A">
              <w:rPr>
                <w:rFonts w:cs="Arial"/>
              </w:rPr>
              <w:t>Použití podpory v rámci blokové výjimky – čl. 20, 20a (v případě, že aktivity projektu zvýhodňují třetí stranu/y) nebo čl. 53 GBER</w:t>
            </w:r>
            <w:r>
              <w:rPr>
                <w:rFonts w:cs="Arial"/>
              </w:rPr>
              <w:t>.</w:t>
            </w:r>
          </w:p>
        </w:tc>
        <w:tc>
          <w:tcPr>
            <w:tcW w:w="7509" w:type="dxa"/>
          </w:tcPr>
          <w:p w14:paraId="6FC1C2AE" w14:textId="77777777" w:rsidR="00972D89" w:rsidRDefault="00972D89" w:rsidP="00353BF3">
            <w:pPr>
              <w:autoSpaceDE w:val="0"/>
              <w:autoSpaceDN w:val="0"/>
              <w:adjustRightInd w:val="0"/>
              <w:spacing w:after="120"/>
              <w:rPr>
                <w:rFonts w:eastAsia="Calibri" w:cs="Arial"/>
                <w:bdr w:val="nil"/>
                <w:lang w:val="pl-PL" w:bidi="pl-PL"/>
              </w:rPr>
            </w:pPr>
            <w:r w:rsidRPr="006A451D">
              <w:rPr>
                <w:rFonts w:eastAsia="Calibri" w:cs="Arial"/>
                <w:bdr w:val="nil"/>
                <w:lang w:val="pl-PL" w:bidi="pl-PL"/>
              </w:rPr>
              <w:t xml:space="preserve">W kontekście Programu </w:t>
            </w:r>
            <w:r w:rsidR="00863597" w:rsidRPr="00955514">
              <w:rPr>
                <w:rFonts w:eastAsia="Calibri" w:cs="Arial"/>
                <w:bdr w:val="nil"/>
                <w:lang w:val="pl-PL" w:bidi="pl-PL"/>
              </w:rPr>
              <w:t>Interreg Czechy – Polska 2021-2027</w:t>
            </w:r>
            <w:r w:rsidRPr="006A451D">
              <w:rPr>
                <w:rFonts w:eastAsia="Calibri" w:cs="Arial"/>
                <w:bdr w:val="nil"/>
                <w:lang w:val="pl-PL" w:bidi="pl-PL"/>
              </w:rPr>
              <w:t xml:space="preserve"> pod niniejszym warunkiem rozumiany jest zawsze jeden wspólny region transgraniczny, bez względu na istnienie granicy państwowej między państwami członkowskimi. Działanie, które uzyskało dofinansowanie, uznaje się za lokalne, jeżeli skierowane jest ono do mieszkańców regionu transgranicznego i nie ma na celu przyciągnięcia turystów zagranicznych z państwa członkowskiego uczestniczącego w Programie lub innych państw członkowskich.</w:t>
            </w:r>
          </w:p>
          <w:p w14:paraId="1F818A34" w14:textId="77777777" w:rsidR="000415C8" w:rsidRPr="000415C8" w:rsidRDefault="000415C8" w:rsidP="000415C8">
            <w:pPr>
              <w:autoSpaceDE w:val="0"/>
              <w:autoSpaceDN w:val="0"/>
              <w:adjustRightInd w:val="0"/>
              <w:rPr>
                <w:rFonts w:cs="Arial"/>
              </w:rPr>
            </w:pPr>
            <w:r w:rsidRPr="000415C8">
              <w:rPr>
                <w:rFonts w:cs="Arial"/>
              </w:rPr>
              <w:t>Program nie może oferować pomocy publicznej:</w:t>
            </w:r>
          </w:p>
          <w:p w14:paraId="53C391B4" w14:textId="77777777" w:rsidR="000415C8" w:rsidRDefault="000415C8" w:rsidP="000415C8">
            <w:pPr>
              <w:autoSpaceDE w:val="0"/>
              <w:autoSpaceDN w:val="0"/>
              <w:adjustRightInd w:val="0"/>
              <w:rPr>
                <w:rFonts w:cs="Arial"/>
              </w:rPr>
            </w:pPr>
            <w:r w:rsidRPr="000415C8">
              <w:rPr>
                <w:rFonts w:cs="Arial"/>
              </w:rPr>
              <w:t>- przedsiębiorstwom mającym problemy art. 1 ust. 4 lit. c) rozporządzenia Komisji (UE) nr 651/2014, tzw. ogólnego rozporządzenia w sprawie wyłączeń blokowych (dalej tylko „GBER”);</w:t>
            </w:r>
          </w:p>
          <w:p w14:paraId="3B08601C" w14:textId="0BFF18A5" w:rsidR="000415C8" w:rsidRPr="000415C8" w:rsidRDefault="000415C8" w:rsidP="000415C8">
            <w:pPr>
              <w:autoSpaceDE w:val="0"/>
              <w:autoSpaceDN w:val="0"/>
              <w:adjustRightInd w:val="0"/>
              <w:rPr>
                <w:rFonts w:cs="Arial"/>
              </w:rPr>
            </w:pPr>
            <w:r>
              <w:rPr>
                <w:rFonts w:cs="Arial"/>
              </w:rPr>
              <w:t xml:space="preserve">- </w:t>
            </w:r>
            <w:r w:rsidRPr="000415C8">
              <w:rPr>
                <w:rFonts w:cs="Arial"/>
              </w:rPr>
              <w:t>wnioskodawcy, wobec którego wydano nakaz zwrotu pomocy w następstwie decyzji Komisji UE uznającej pomoc za niezgodną z prawem i rynkiem wewnętrznym.</w:t>
            </w:r>
          </w:p>
          <w:p w14:paraId="7E22A718" w14:textId="77777777" w:rsidR="000415C8" w:rsidRDefault="000415C8" w:rsidP="00353BF3">
            <w:pPr>
              <w:autoSpaceDE w:val="0"/>
              <w:autoSpaceDN w:val="0"/>
              <w:adjustRightInd w:val="0"/>
              <w:spacing w:after="120"/>
              <w:rPr>
                <w:rFonts w:cs="Arial"/>
                <w:lang w:val="pl-PL"/>
              </w:rPr>
            </w:pPr>
          </w:p>
          <w:p w14:paraId="3009168D" w14:textId="77777777" w:rsidR="00E24D2A" w:rsidRPr="00E24D2A" w:rsidRDefault="00E24D2A" w:rsidP="00353BF3">
            <w:pPr>
              <w:autoSpaceDE w:val="0"/>
              <w:autoSpaceDN w:val="0"/>
              <w:adjustRightInd w:val="0"/>
              <w:spacing w:after="120"/>
              <w:rPr>
                <w:rFonts w:cs="Arial"/>
                <w:b/>
                <w:bCs/>
                <w:lang w:val="pl-PL"/>
              </w:rPr>
            </w:pPr>
            <w:r w:rsidRPr="00E24D2A">
              <w:rPr>
                <w:rFonts w:cs="Arial"/>
                <w:b/>
                <w:bCs/>
                <w:lang w:val="pl-PL"/>
              </w:rPr>
              <w:t>Ocena pomocy publicznej</w:t>
            </w:r>
          </w:p>
          <w:p w14:paraId="052F2FEF" w14:textId="77777777" w:rsidR="00E24D2A" w:rsidRDefault="00E24D2A" w:rsidP="00353BF3">
            <w:pPr>
              <w:autoSpaceDE w:val="0"/>
              <w:autoSpaceDN w:val="0"/>
              <w:adjustRightInd w:val="0"/>
              <w:spacing w:after="120"/>
              <w:rPr>
                <w:rFonts w:cs="Arial"/>
                <w:lang w:val="pl-PL"/>
              </w:rPr>
            </w:pPr>
            <w:r w:rsidRPr="00E24D2A">
              <w:rPr>
                <w:rFonts w:cs="Arial"/>
                <w:lang w:val="pl-PL"/>
              </w:rPr>
              <w:t>Zgodność z zasadami pomocy publicznej jest oceniana w ramach kontroli wniosku projektowego. Podczas sprawdzania wniosku projektowego WS ocenia ryzyko pomocy publicznej zgodnie z czterema powyższymi cechami definiującymi pomoc publiczną.</w:t>
            </w:r>
          </w:p>
          <w:p w14:paraId="6E3997D7" w14:textId="77777777" w:rsidR="00E24D2A" w:rsidRDefault="00E24D2A" w:rsidP="00353BF3">
            <w:pPr>
              <w:autoSpaceDE w:val="0"/>
              <w:autoSpaceDN w:val="0"/>
              <w:adjustRightInd w:val="0"/>
              <w:spacing w:after="120"/>
              <w:rPr>
                <w:rFonts w:cs="Arial"/>
                <w:lang w:val="pl-PL"/>
              </w:rPr>
            </w:pPr>
            <w:r w:rsidRPr="00E24D2A">
              <w:rPr>
                <w:rFonts w:cs="Arial"/>
                <w:lang w:val="pl-PL"/>
              </w:rPr>
              <w:t>Możliwe warianty wyniku kontroli projektu z punktu widzenia pomocy publicznej i dalsze postępowanie</w:t>
            </w:r>
            <w:r>
              <w:rPr>
                <w:rFonts w:cs="Arial"/>
                <w:lang w:val="pl-PL"/>
              </w:rPr>
              <w:t>:</w:t>
            </w:r>
          </w:p>
          <w:p w14:paraId="56321009" w14:textId="77777777" w:rsidR="00E24D2A" w:rsidRDefault="00E24D2A" w:rsidP="00E24D2A">
            <w:pPr>
              <w:numPr>
                <w:ilvl w:val="0"/>
                <w:numId w:val="32"/>
              </w:numPr>
              <w:autoSpaceDE w:val="0"/>
              <w:autoSpaceDN w:val="0"/>
              <w:adjustRightInd w:val="0"/>
              <w:spacing w:after="0"/>
              <w:rPr>
                <w:rFonts w:cs="Arial"/>
                <w:lang w:val="pl-PL"/>
              </w:rPr>
            </w:pPr>
            <w:r w:rsidRPr="00E24D2A">
              <w:rPr>
                <w:rFonts w:cs="Arial"/>
                <w:lang w:val="pl-PL"/>
              </w:rPr>
              <w:t>nie zidentyfikowano pomocy publicznej - w tym przypadku dla projektu nie określa się żadnych dalszych kroków ani warunków,</w:t>
            </w:r>
          </w:p>
          <w:p w14:paraId="493C16A9" w14:textId="77777777" w:rsidR="00E24D2A" w:rsidRDefault="00E24D2A" w:rsidP="00E24D2A">
            <w:pPr>
              <w:numPr>
                <w:ilvl w:val="0"/>
                <w:numId w:val="32"/>
              </w:numPr>
              <w:autoSpaceDE w:val="0"/>
              <w:autoSpaceDN w:val="0"/>
              <w:adjustRightInd w:val="0"/>
              <w:spacing w:after="0"/>
              <w:rPr>
                <w:rFonts w:cs="Arial"/>
                <w:lang w:val="pl-PL"/>
              </w:rPr>
            </w:pPr>
            <w:r w:rsidRPr="00E24D2A">
              <w:rPr>
                <w:rFonts w:cs="Arial"/>
                <w:lang w:val="pl-PL"/>
              </w:rPr>
              <w:t>ryzyko zostało zidentyfikowane, a charakter działań w projekcie umożliwia usunięcie działania, dla którego ryzyko to zostało zidentyfikowane - WS w porozumieniu z wnioskodawcą zaproponuje usunięcie ryzykownych działań w ramach zmiany w projekcie,</w:t>
            </w:r>
          </w:p>
          <w:p w14:paraId="2E5E437A" w14:textId="77777777" w:rsidR="00E24D2A" w:rsidRDefault="00E24D2A" w:rsidP="00E24D2A">
            <w:pPr>
              <w:numPr>
                <w:ilvl w:val="0"/>
                <w:numId w:val="32"/>
              </w:numPr>
              <w:autoSpaceDE w:val="0"/>
              <w:autoSpaceDN w:val="0"/>
              <w:adjustRightInd w:val="0"/>
              <w:spacing w:after="0"/>
              <w:rPr>
                <w:rFonts w:cs="Arial"/>
                <w:lang w:val="pl-PL"/>
              </w:rPr>
            </w:pPr>
            <w:r w:rsidRPr="00E24D2A">
              <w:rPr>
                <w:rFonts w:cs="Arial"/>
                <w:lang w:val="pl-PL"/>
              </w:rPr>
              <w:t>działania w ramach projektu stanowią pomoc publiczną i nie jest możliwe wyłączenie tych działań - w tym przypadku, kierując się charakterem działań projektowych zostanie zarekomendowane zastosowanie bądź zasady de minimis albo art. 20 GBER, lub art. 53 GBER w sytuacji kiedy działania projektu faworyzują stronę lub strony trzecie – zastosowania art. 20a GBER.</w:t>
            </w:r>
          </w:p>
          <w:p w14:paraId="50430C07" w14:textId="77777777" w:rsidR="00E24D2A" w:rsidRDefault="00E24D2A" w:rsidP="00E24D2A">
            <w:pPr>
              <w:numPr>
                <w:ilvl w:val="0"/>
                <w:numId w:val="33"/>
              </w:numPr>
              <w:autoSpaceDE w:val="0"/>
              <w:autoSpaceDN w:val="0"/>
              <w:adjustRightInd w:val="0"/>
              <w:spacing w:after="120"/>
              <w:rPr>
                <w:rFonts w:cs="Arial"/>
                <w:lang w:val="pl-PL"/>
              </w:rPr>
            </w:pPr>
            <w:r w:rsidRPr="00E24D2A">
              <w:rPr>
                <w:rFonts w:cs="Arial"/>
                <w:lang w:val="pl-PL"/>
              </w:rPr>
              <w:t>Wykorzystanie pomocy w ramach trybu de minimis</w:t>
            </w:r>
            <w:r>
              <w:rPr>
                <w:rFonts w:cs="Arial"/>
                <w:lang w:val="pl-PL"/>
              </w:rPr>
              <w:t>.</w:t>
            </w:r>
          </w:p>
          <w:p w14:paraId="201DFC8E" w14:textId="04EF8B51" w:rsidR="00E24D2A" w:rsidRPr="006A451D" w:rsidRDefault="00E24D2A" w:rsidP="00E24D2A">
            <w:pPr>
              <w:numPr>
                <w:ilvl w:val="0"/>
                <w:numId w:val="33"/>
              </w:numPr>
              <w:autoSpaceDE w:val="0"/>
              <w:autoSpaceDN w:val="0"/>
              <w:adjustRightInd w:val="0"/>
              <w:spacing w:after="120"/>
              <w:rPr>
                <w:rFonts w:cs="Arial"/>
                <w:lang w:val="pl-PL"/>
              </w:rPr>
            </w:pPr>
            <w:r w:rsidRPr="00E24D2A">
              <w:rPr>
                <w:rFonts w:cs="Arial"/>
                <w:lang w:val="pl-PL"/>
              </w:rPr>
              <w:t>Wykorzystanie dofinansowania w ramach wyłączenia grupowego - art. 20, 20a (jeżeli działania w ramach projektu sprzyjają stronie trzeciej (stronom trzecim)) lub art. 53 GBER</w:t>
            </w:r>
            <w:r>
              <w:rPr>
                <w:rFonts w:cs="Arial"/>
                <w:lang w:val="pl-PL"/>
              </w:rPr>
              <w:t>.</w:t>
            </w:r>
          </w:p>
        </w:tc>
      </w:tr>
      <w:tr w:rsidR="00972D89" w:rsidRPr="0013431E" w14:paraId="0C343822" w14:textId="77777777" w:rsidTr="00E24D2A">
        <w:tc>
          <w:tcPr>
            <w:tcW w:w="6711" w:type="dxa"/>
          </w:tcPr>
          <w:p w14:paraId="65310994" w14:textId="492C1020" w:rsidR="00972D89" w:rsidRPr="00C44BE0" w:rsidRDefault="00972D89" w:rsidP="00353BF3">
            <w:pPr>
              <w:pStyle w:val="Nagwek5"/>
            </w:pPr>
          </w:p>
        </w:tc>
        <w:tc>
          <w:tcPr>
            <w:tcW w:w="7509" w:type="dxa"/>
          </w:tcPr>
          <w:p w14:paraId="25496854" w14:textId="23BA9D2A" w:rsidR="00972D89" w:rsidRPr="00C44BE0" w:rsidRDefault="00972D89" w:rsidP="00353BF3">
            <w:pPr>
              <w:pStyle w:val="Nagwek5"/>
            </w:pPr>
          </w:p>
        </w:tc>
      </w:tr>
      <w:tr w:rsidR="00972D89" w:rsidRPr="0013431E" w14:paraId="0C557CC6" w14:textId="77777777" w:rsidTr="00E24D2A">
        <w:tc>
          <w:tcPr>
            <w:tcW w:w="6711" w:type="dxa"/>
          </w:tcPr>
          <w:p w14:paraId="4A5A2D1E" w14:textId="7B2EBF3C" w:rsidR="00972D89" w:rsidRPr="006A451D" w:rsidRDefault="00972D89" w:rsidP="00353BF3">
            <w:pPr>
              <w:rPr>
                <w:rFonts w:cs="Arial"/>
              </w:rPr>
            </w:pPr>
          </w:p>
        </w:tc>
        <w:tc>
          <w:tcPr>
            <w:tcW w:w="7509" w:type="dxa"/>
          </w:tcPr>
          <w:p w14:paraId="0081BDA8" w14:textId="3A737A7C" w:rsidR="00972D89" w:rsidRPr="006A451D" w:rsidRDefault="00972D89" w:rsidP="00353BF3">
            <w:pPr>
              <w:spacing w:after="120"/>
              <w:rPr>
                <w:rFonts w:eastAsia="Calibri" w:cs="Arial"/>
                <w:bdr w:val="nil"/>
                <w:lang w:val="pl-PL" w:bidi="pl-PL"/>
              </w:rPr>
            </w:pPr>
          </w:p>
        </w:tc>
      </w:tr>
      <w:tr w:rsidR="00972D89" w:rsidRPr="0013431E" w14:paraId="2C284BFF" w14:textId="77777777" w:rsidTr="00E24D2A">
        <w:tc>
          <w:tcPr>
            <w:tcW w:w="6711" w:type="dxa"/>
          </w:tcPr>
          <w:p w14:paraId="66856454" w14:textId="77777777" w:rsidR="00972D89" w:rsidRPr="006A451D" w:rsidRDefault="00972D89" w:rsidP="00353BF3">
            <w:pPr>
              <w:rPr>
                <w:rFonts w:cs="Arial"/>
              </w:rPr>
            </w:pPr>
          </w:p>
        </w:tc>
        <w:tc>
          <w:tcPr>
            <w:tcW w:w="7509" w:type="dxa"/>
          </w:tcPr>
          <w:p w14:paraId="5CB523B9" w14:textId="77777777" w:rsidR="00972D89" w:rsidRPr="006A451D" w:rsidRDefault="00972D89" w:rsidP="00353BF3">
            <w:pPr>
              <w:spacing w:after="120"/>
              <w:rPr>
                <w:rFonts w:cs="Arial"/>
                <w:lang w:val="pl-PL"/>
              </w:rPr>
            </w:pPr>
          </w:p>
        </w:tc>
      </w:tr>
      <w:tr w:rsidR="00972D89" w:rsidRPr="0013431E" w14:paraId="5C57CFB5" w14:textId="77777777" w:rsidTr="00E24D2A">
        <w:tc>
          <w:tcPr>
            <w:tcW w:w="6711" w:type="dxa"/>
          </w:tcPr>
          <w:p w14:paraId="19F004A6" w14:textId="77777777" w:rsidR="00972D89" w:rsidRPr="006A451D" w:rsidRDefault="00972D89" w:rsidP="00353BF3">
            <w:pPr>
              <w:rPr>
                <w:rFonts w:cs="Arial"/>
              </w:rPr>
            </w:pPr>
          </w:p>
        </w:tc>
        <w:tc>
          <w:tcPr>
            <w:tcW w:w="7509" w:type="dxa"/>
          </w:tcPr>
          <w:p w14:paraId="67D11D24" w14:textId="77777777" w:rsidR="00972D89" w:rsidRPr="006A451D" w:rsidRDefault="00972D89" w:rsidP="00353BF3">
            <w:pPr>
              <w:spacing w:after="120"/>
              <w:rPr>
                <w:rFonts w:cs="Arial"/>
                <w:lang w:val="pl-PL"/>
              </w:rPr>
            </w:pPr>
          </w:p>
        </w:tc>
      </w:tr>
      <w:tr w:rsidR="00972D89" w:rsidRPr="0013431E" w14:paraId="4784563A" w14:textId="77777777" w:rsidTr="00E24D2A">
        <w:tc>
          <w:tcPr>
            <w:tcW w:w="6711" w:type="dxa"/>
          </w:tcPr>
          <w:p w14:paraId="09FBFBFC" w14:textId="77777777" w:rsidR="00972D89" w:rsidRPr="006A451D" w:rsidRDefault="00972D89" w:rsidP="00353BF3">
            <w:pPr>
              <w:rPr>
                <w:rFonts w:cs="Arial"/>
              </w:rPr>
            </w:pPr>
          </w:p>
        </w:tc>
        <w:tc>
          <w:tcPr>
            <w:tcW w:w="7509" w:type="dxa"/>
          </w:tcPr>
          <w:p w14:paraId="62BB53A2" w14:textId="77777777" w:rsidR="00972D89" w:rsidRPr="006A451D" w:rsidRDefault="00972D89" w:rsidP="00353BF3">
            <w:pPr>
              <w:spacing w:after="120"/>
              <w:rPr>
                <w:rFonts w:cs="Arial"/>
                <w:lang w:val="pl-PL"/>
              </w:rPr>
            </w:pPr>
          </w:p>
        </w:tc>
      </w:tr>
      <w:tr w:rsidR="00972D89" w:rsidRPr="0013431E" w14:paraId="241EA1C7" w14:textId="77777777" w:rsidTr="00E24D2A">
        <w:tc>
          <w:tcPr>
            <w:tcW w:w="6711" w:type="dxa"/>
          </w:tcPr>
          <w:p w14:paraId="74A82D2C" w14:textId="1F6828BB" w:rsidR="00972D89" w:rsidRPr="006F170F" w:rsidRDefault="00E24D2A" w:rsidP="00353BF3">
            <w:pPr>
              <w:rPr>
                <w:rFonts w:cs="Arial"/>
                <w:b/>
                <w:bCs/>
                <w:sz w:val="20"/>
                <w:szCs w:val="20"/>
              </w:rPr>
            </w:pPr>
            <w:r w:rsidRPr="006F170F">
              <w:rPr>
                <w:rFonts w:cs="Arial"/>
                <w:b/>
                <w:bCs/>
                <w:sz w:val="20"/>
                <w:szCs w:val="20"/>
              </w:rPr>
              <w:t>Podpora de minimis</w:t>
            </w:r>
          </w:p>
        </w:tc>
        <w:tc>
          <w:tcPr>
            <w:tcW w:w="7509" w:type="dxa"/>
          </w:tcPr>
          <w:p w14:paraId="0687D5B8" w14:textId="583B7A5F" w:rsidR="00972D89" w:rsidRPr="006F170F" w:rsidRDefault="000F4CA0" w:rsidP="00353BF3">
            <w:pPr>
              <w:spacing w:after="120"/>
              <w:rPr>
                <w:rFonts w:cs="Arial"/>
                <w:b/>
                <w:bCs/>
                <w:sz w:val="20"/>
                <w:szCs w:val="20"/>
                <w:lang w:val="pl-PL"/>
              </w:rPr>
            </w:pPr>
            <w:r w:rsidRPr="006F170F">
              <w:rPr>
                <w:rFonts w:cs="Arial"/>
                <w:b/>
                <w:bCs/>
                <w:sz w:val="20"/>
                <w:szCs w:val="20"/>
                <w:lang w:val="pl-PL"/>
              </w:rPr>
              <w:t>Pomoc de minimis</w:t>
            </w:r>
          </w:p>
        </w:tc>
      </w:tr>
      <w:tr w:rsidR="00972D89" w:rsidRPr="000F4CA0" w14:paraId="613630BE" w14:textId="77777777" w:rsidTr="00E24D2A">
        <w:tc>
          <w:tcPr>
            <w:tcW w:w="6711" w:type="dxa"/>
          </w:tcPr>
          <w:p w14:paraId="5AFAC637" w14:textId="6161EF71" w:rsidR="00972D89" w:rsidRPr="000F4CA0" w:rsidRDefault="000F4CA0" w:rsidP="00E24D2A">
            <w:pPr>
              <w:pStyle w:val="Akapitzlist"/>
              <w:spacing w:before="0" w:after="0" w:line="240" w:lineRule="auto"/>
              <w:ind w:left="0"/>
              <w:jc w:val="both"/>
              <w:rPr>
                <w:rFonts w:ascii="Arial" w:hAnsi="Arial" w:cs="Arial"/>
                <w:bCs/>
                <w:sz w:val="16"/>
                <w:szCs w:val="16"/>
                <w:lang w:eastAsia="en-US"/>
              </w:rPr>
            </w:pPr>
            <w:r w:rsidRPr="000F4CA0">
              <w:rPr>
                <w:rFonts w:ascii="Arial" w:hAnsi="Arial" w:cs="Arial"/>
                <w:bCs/>
                <w:sz w:val="16"/>
                <w:szCs w:val="16"/>
                <w:lang w:eastAsia="en-US"/>
              </w:rPr>
              <w:t>Podporu de minimis je možné použít ve všech prioritách a pro všechny aktivity programu.</w:t>
            </w:r>
          </w:p>
        </w:tc>
        <w:tc>
          <w:tcPr>
            <w:tcW w:w="7509" w:type="dxa"/>
          </w:tcPr>
          <w:p w14:paraId="61930BBD" w14:textId="25CFE8DE" w:rsidR="00972D89" w:rsidRPr="000F4CA0" w:rsidRDefault="000F4CA0" w:rsidP="000F4CA0">
            <w:pPr>
              <w:pStyle w:val="Akapitzlist"/>
              <w:spacing w:before="0" w:after="120"/>
              <w:ind w:left="0"/>
              <w:rPr>
                <w:rFonts w:ascii="Arial" w:hAnsi="Arial" w:cs="Arial"/>
                <w:bCs/>
                <w:sz w:val="16"/>
                <w:szCs w:val="16"/>
                <w:lang w:val="pl-PL" w:eastAsia="en-US"/>
              </w:rPr>
            </w:pPr>
            <w:r w:rsidRPr="000F4CA0">
              <w:rPr>
                <w:rFonts w:ascii="Arial" w:hAnsi="Arial" w:cs="Arial"/>
                <w:bCs/>
                <w:sz w:val="16"/>
                <w:szCs w:val="16"/>
                <w:lang w:val="pl-PL" w:eastAsia="en-US"/>
              </w:rPr>
              <w:t>Pomoc de minimis może być wykorzystywana we wszystkich priorytetach i dla wszystkich działań</w:t>
            </w:r>
            <w:r>
              <w:rPr>
                <w:rFonts w:ascii="Arial" w:hAnsi="Arial" w:cs="Arial"/>
                <w:bCs/>
                <w:sz w:val="16"/>
                <w:szCs w:val="16"/>
                <w:lang w:val="pl-PL" w:eastAsia="en-US"/>
              </w:rPr>
              <w:t xml:space="preserve"> </w:t>
            </w:r>
            <w:r w:rsidRPr="000F4CA0">
              <w:rPr>
                <w:rFonts w:ascii="Arial" w:hAnsi="Arial" w:cs="Arial"/>
                <w:bCs/>
                <w:sz w:val="16"/>
                <w:szCs w:val="16"/>
                <w:lang w:val="pl-PL" w:eastAsia="en-US"/>
              </w:rPr>
              <w:t>programu.</w:t>
            </w:r>
          </w:p>
        </w:tc>
      </w:tr>
      <w:tr w:rsidR="00972D89" w:rsidRPr="0013431E" w14:paraId="4F96035E" w14:textId="77777777" w:rsidTr="00E24D2A">
        <w:tc>
          <w:tcPr>
            <w:tcW w:w="6711" w:type="dxa"/>
          </w:tcPr>
          <w:p w14:paraId="76F8D61E" w14:textId="77777777" w:rsidR="00972D89" w:rsidRPr="006A451D" w:rsidRDefault="00972D89" w:rsidP="00353BF3">
            <w:pPr>
              <w:rPr>
                <w:rFonts w:cs="Arial"/>
              </w:rPr>
            </w:pPr>
            <w:r w:rsidRPr="006A451D">
              <w:rPr>
                <w:rFonts w:cs="Arial"/>
              </w:rPr>
              <w:t>Podpora de minimis (neboli podpora malého rozsahu) není považována za „veřejnou podporu“. Vzhledem k její nízké částce má Evropská komise za to, že nenaplňuje poslední dva znaky definice veřejné podpory – svou minimální výší by neměla ovlivnit obchod a narušit hospodářskou soutěž mezi členskými státy. Tento druh podpory může být poskytnut jak na podporu investičního tak i provozního charakteru.</w:t>
            </w:r>
          </w:p>
        </w:tc>
        <w:tc>
          <w:tcPr>
            <w:tcW w:w="7509" w:type="dxa"/>
          </w:tcPr>
          <w:p w14:paraId="433B28B8" w14:textId="77777777" w:rsidR="00972D89" w:rsidRPr="006A451D" w:rsidRDefault="00972D89" w:rsidP="00353BF3">
            <w:pPr>
              <w:spacing w:after="120"/>
              <w:rPr>
                <w:rFonts w:eastAsia="Calibri" w:cs="Arial"/>
                <w:bdr w:val="nil"/>
                <w:lang w:val="pl-PL" w:bidi="pl-PL"/>
              </w:rPr>
            </w:pPr>
            <w:r w:rsidRPr="006A451D">
              <w:rPr>
                <w:rFonts w:eastAsia="Calibri" w:cs="Arial"/>
                <w:bdr w:val="nil"/>
                <w:lang w:val="pl-PL" w:bidi="pl-PL"/>
              </w:rPr>
              <w:t>Pomocy de minimis  nie uznaje się za „pomoc publiczną”. Ze względu na niewielką kwotę dotacji Komisja Europejska uznała, że nie spełnia ona ostatnich dwóch kryteriów definicyjnych pomocy publicznej – w związku z minimalną wysokością nie powinna mieć ona wpływu na handel ani naruszać zasad uczciwej konkurencji między państwami członkowskimi. Ten rodzaj pomocy może zostać udzielony zarówno w przypadku pomocy inwestycyjnej, jak i operacyjnej.</w:t>
            </w:r>
          </w:p>
        </w:tc>
      </w:tr>
      <w:tr w:rsidR="00972D89" w:rsidRPr="0013431E" w14:paraId="71EE22C2" w14:textId="77777777" w:rsidTr="00E24D2A">
        <w:tc>
          <w:tcPr>
            <w:tcW w:w="6711" w:type="dxa"/>
          </w:tcPr>
          <w:p w14:paraId="490C15E6" w14:textId="31163732" w:rsidR="00972D89" w:rsidRPr="008609AF" w:rsidRDefault="00972D89" w:rsidP="008609AF">
            <w:pPr>
              <w:rPr>
                <w:rFonts w:cs="Arial"/>
              </w:rPr>
            </w:pPr>
            <w:r w:rsidRPr="006A451D">
              <w:rPr>
                <w:rFonts w:cs="Arial"/>
              </w:rPr>
              <w:t xml:space="preserve">Podpora de minimis je omezena na limit max. </w:t>
            </w:r>
            <w:r w:rsidRPr="006A451D">
              <w:rPr>
                <w:rStyle w:val="Pogrubienie"/>
                <w:rFonts w:cs="Arial"/>
              </w:rPr>
              <w:t>200 000 EUR</w:t>
            </w:r>
            <w:r w:rsidR="008609AF">
              <w:t xml:space="preserve"> (</w:t>
            </w:r>
            <w:r w:rsidR="008609AF" w:rsidRPr="008609AF">
              <w:t>Příp. max. 100 000 EUR pro podniky působící v odvětví silniční nákladní dopravy</w:t>
            </w:r>
            <w:r w:rsidR="008609AF">
              <w:t>)</w:t>
            </w:r>
            <w:r w:rsidRPr="006A451D">
              <w:rPr>
                <w:rFonts w:cs="Arial"/>
              </w:rPr>
              <w:t xml:space="preserve"> pro </w:t>
            </w:r>
            <w:hyperlink r:id="rId8" w:history="1">
              <w:r w:rsidRPr="006A451D">
                <w:rPr>
                  <w:rStyle w:val="Hipercze"/>
                  <w:rFonts w:cs="Arial"/>
                </w:rPr>
                <w:t>jeden podnik</w:t>
              </w:r>
            </w:hyperlink>
            <w:r w:rsidR="008609AF">
              <w:rPr>
                <w:rStyle w:val="Hipercze"/>
                <w:rFonts w:cs="Arial"/>
              </w:rPr>
              <w:t xml:space="preserve"> </w:t>
            </w:r>
            <w:r w:rsidR="008609AF" w:rsidRPr="008609AF">
              <w:rPr>
                <w:rStyle w:val="Hipercze"/>
                <w:rFonts w:cs="Arial"/>
                <w:color w:val="auto"/>
                <w:u w:val="none"/>
              </w:rPr>
              <w:t>(Bližší informace o pojmu „jeden podnik“ a „propojený podnik“ mohou čeští partneři najít v Metodické příručce k aplikaci pojmu „jeden podnik“ z pohledu pravidel de minimis zveřejněné na webových stránkách Úřadu pro</w:t>
            </w:r>
            <w:r w:rsidR="008609AF">
              <w:rPr>
                <w:rStyle w:val="Hipercze"/>
                <w:rFonts w:cs="Arial"/>
                <w:color w:val="auto"/>
                <w:u w:val="none"/>
              </w:rPr>
              <w:t xml:space="preserve"> </w:t>
            </w:r>
            <w:r w:rsidR="008609AF" w:rsidRPr="008609AF">
              <w:rPr>
                <w:rStyle w:val="Hipercze"/>
                <w:rFonts w:cs="Arial"/>
                <w:color w:val="auto"/>
                <w:u w:val="none"/>
              </w:rPr>
              <w:t>ochranu hospodářské soutěže www.uohs.cz</w:t>
            </w:r>
            <w:r w:rsidR="008609AF">
              <w:rPr>
                <w:rStyle w:val="Hipercze"/>
                <w:rFonts w:cs="Arial"/>
                <w:color w:val="auto"/>
                <w:u w:val="none"/>
              </w:rPr>
              <w:t>)</w:t>
            </w:r>
            <w:r w:rsidRPr="006A451D">
              <w:rPr>
                <w:rFonts w:cs="Arial"/>
              </w:rPr>
              <w:t xml:space="preserve"> v </w:t>
            </w:r>
            <w:r w:rsidRPr="006A451D">
              <w:rPr>
                <w:rStyle w:val="Pogrubienie"/>
                <w:rFonts w:cs="Arial"/>
              </w:rPr>
              <w:t>tříletém období</w:t>
            </w:r>
            <w:r w:rsidRPr="006A451D">
              <w:rPr>
                <w:rFonts w:cs="Arial"/>
              </w:rPr>
              <w:t xml:space="preserve"> (současné a dvě předchozí účetní období, které příjemce používá pro daňové účely). V praxi to znamená, že partner sečte všechny obdržené podpory de minimis za předchozí 2 fiskální roky a za aktuální rok, výslednou částku odečte od maximálního možného limitu, tj. od 200 000 EUR a rozdíl představuje maximální výši podpory z veřejných prostředků (prostředků podpory z EFRR, ze státního rozpočtu případně dalších veřejných rozpočtů a fondů) pro projekt. </w:t>
            </w:r>
            <w:r w:rsidRPr="006A451D">
              <w:rPr>
                <w:rFonts w:cs="Arial"/>
                <w:bCs/>
              </w:rPr>
              <w:t xml:space="preserve">Limit se posuzuje dle státu, který podporu de minimis poskytl (i když jsou podpořené činnosti podniku vykonávány na území jiného členského státu). Podpora de minimis poskytnutá českým a polským projektovým partnerům v rámci programu Interreg </w:t>
            </w:r>
            <w:r w:rsidR="000F4CA0">
              <w:rPr>
                <w:rFonts w:cs="Arial"/>
                <w:bCs/>
              </w:rPr>
              <w:t>Česko</w:t>
            </w:r>
            <w:r w:rsidRPr="006A451D">
              <w:rPr>
                <w:rFonts w:cs="Arial"/>
                <w:bCs/>
              </w:rPr>
              <w:t xml:space="preserve"> </w:t>
            </w:r>
            <w:r w:rsidR="000F4CA0">
              <w:rPr>
                <w:rFonts w:cs="Arial"/>
                <w:bCs/>
              </w:rPr>
              <w:t>-</w:t>
            </w:r>
            <w:r w:rsidRPr="006A451D">
              <w:rPr>
                <w:rFonts w:cs="Arial"/>
                <w:bCs/>
              </w:rPr>
              <w:t xml:space="preserve"> Polsko bude evidována v registru de minimis v České republice.</w:t>
            </w:r>
          </w:p>
        </w:tc>
        <w:tc>
          <w:tcPr>
            <w:tcW w:w="7509" w:type="dxa"/>
          </w:tcPr>
          <w:p w14:paraId="6FB0EFD8" w14:textId="0BBDED9F" w:rsidR="00972D89" w:rsidRPr="008609AF" w:rsidRDefault="00972D89" w:rsidP="008609AF">
            <w:pPr>
              <w:spacing w:after="120"/>
              <w:rPr>
                <w:rFonts w:eastAsia="Calibri" w:cs="Arial"/>
                <w:bdr w:val="nil"/>
                <w:lang w:val="pl-PL" w:bidi="pl-PL"/>
              </w:rPr>
            </w:pPr>
            <w:r w:rsidRPr="006A451D">
              <w:rPr>
                <w:rFonts w:eastAsia="Calibri" w:cs="Arial"/>
                <w:bdr w:val="nil"/>
                <w:lang w:val="pl-PL" w:bidi="pl-PL"/>
              </w:rPr>
              <w:t xml:space="preserve">Pomoc de minimis jest ograniczona limitem, maks. </w:t>
            </w:r>
            <w:r w:rsidRPr="006A451D">
              <w:rPr>
                <w:rFonts w:eastAsia="Calibri" w:cs="Arial"/>
                <w:b/>
                <w:bCs/>
                <w:bdr w:val="nil"/>
                <w:lang w:val="pl-PL" w:bidi="pl-PL"/>
              </w:rPr>
              <w:t>200 000 EUR</w:t>
            </w:r>
            <w:r w:rsidR="008609AF">
              <w:rPr>
                <w:rFonts w:eastAsia="Calibri" w:cs="Arial"/>
                <w:b/>
                <w:bCs/>
                <w:bdr w:val="nil"/>
                <w:lang w:val="pl-PL" w:bidi="pl-PL"/>
              </w:rPr>
              <w:t xml:space="preserve"> </w:t>
            </w:r>
            <w:r w:rsidR="008609AF" w:rsidRPr="008609AF">
              <w:rPr>
                <w:rFonts w:eastAsia="Calibri" w:cs="Arial"/>
                <w:bdr w:val="nil"/>
                <w:lang w:val="pl-PL" w:bidi="pl-PL"/>
              </w:rPr>
              <w:t>(Ew. maks. 100 000 EUR dla przedsiębiorstw działających w sektorze drogowego transportu towarowego)</w:t>
            </w:r>
            <w:r w:rsidRPr="006A451D">
              <w:rPr>
                <w:rFonts w:eastAsia="Calibri" w:cs="Arial"/>
                <w:bdr w:val="nil"/>
                <w:lang w:val="pl-PL" w:bidi="pl-PL"/>
              </w:rPr>
              <w:t xml:space="preserve"> dla </w:t>
            </w:r>
            <w:hyperlink r:id="rId9" w:history="1">
              <w:r w:rsidRPr="006A451D">
                <w:rPr>
                  <w:rFonts w:eastAsia="Calibri" w:cs="Arial"/>
                  <w:color w:val="0000FF"/>
                  <w:u w:val="single"/>
                  <w:bdr w:val="nil"/>
                  <w:lang w:val="pl-PL" w:bidi="pl-PL"/>
                </w:rPr>
                <w:t>jednego przedsiębiorstwa</w:t>
              </w:r>
            </w:hyperlink>
            <w:r w:rsidR="008609AF">
              <w:rPr>
                <w:rFonts w:eastAsia="Calibri" w:cs="Arial"/>
                <w:color w:val="0000FF"/>
                <w:u w:val="single"/>
                <w:bdr w:val="nil"/>
                <w:lang w:val="pl-PL" w:bidi="pl-PL"/>
              </w:rPr>
              <w:t xml:space="preserve"> </w:t>
            </w:r>
            <w:r w:rsidR="008609AF" w:rsidRPr="008609AF">
              <w:rPr>
                <w:rFonts w:eastAsia="Calibri" w:cs="Arial"/>
                <w:bdr w:val="nil"/>
                <w:lang w:val="pl-PL" w:bidi="pl-PL"/>
              </w:rPr>
              <w:t>(Więcej informacji na temat pojęcia "jedno przedsiębiorstwo" i "przedsiębiorstwo powiązane" czescy partnerzy projektowi mogą znaleźć w Podręczniku metodycznym dotyczącym stosowania pojęcia "jedno przedsiębiorstwo" w</w:t>
            </w:r>
            <w:r w:rsidR="008609AF">
              <w:rPr>
                <w:rFonts w:eastAsia="Calibri" w:cs="Arial"/>
                <w:bdr w:val="nil"/>
                <w:lang w:val="pl-PL" w:bidi="pl-PL"/>
              </w:rPr>
              <w:t xml:space="preserve"> </w:t>
            </w:r>
            <w:r w:rsidR="008609AF" w:rsidRPr="008609AF">
              <w:rPr>
                <w:rFonts w:eastAsia="Calibri" w:cs="Arial"/>
                <w:bdr w:val="nil"/>
                <w:lang w:val="pl-PL" w:bidi="pl-PL"/>
              </w:rPr>
              <w:t>świetle zasad de minimis, opublikowanym na stronie internetowej czeskiego Urzędu Ochrony Konkurencji www.uohs.cz)</w:t>
            </w:r>
            <w:r w:rsidRPr="006A451D">
              <w:rPr>
                <w:rFonts w:eastAsia="Calibri" w:cs="Arial"/>
                <w:bdr w:val="nil"/>
                <w:lang w:val="pl-PL" w:bidi="pl-PL"/>
              </w:rPr>
              <w:t xml:space="preserve"> w </w:t>
            </w:r>
            <w:r w:rsidRPr="006A451D">
              <w:rPr>
                <w:rFonts w:eastAsia="Calibri" w:cs="Arial"/>
                <w:b/>
                <w:bCs/>
                <w:bdr w:val="nil"/>
                <w:lang w:val="pl-PL" w:bidi="pl-PL"/>
              </w:rPr>
              <w:t>okresie trzech lat</w:t>
            </w:r>
            <w:r w:rsidRPr="006A451D">
              <w:rPr>
                <w:rFonts w:eastAsia="Calibri" w:cs="Arial"/>
                <w:bdr w:val="nil"/>
                <w:lang w:val="pl-PL" w:bidi="pl-PL"/>
              </w:rPr>
              <w:t xml:space="preserve"> (aktualny okres rozliczeniowy i dwa poprzednie, stosowane przez beneficjenta w celach rozliczenia podatku). W praktyce oznacza to, że partner sumuje wszystkie kwoty otrzymanej pomocy de minimis za poprzednie 2 lata fiskalne i za aktualny rok, otrzymaną kwotę odlicza od maksymalnego dopuszczalnego limitu, tzn. od 200 000 EUR, zaś otrzymana różnica stanowi maksymalną wartość pomocy ze środków publicznych (środków pomocy z EFRR, z budżetu państwa lub ewentualnie innych budżetów publicznych i funduszy) dla projektu.Limit ustalany jest dla państwa, które udziela pomocy de minimis (nawet jeżeli działania przedsiębiorstwa, którym udzielono wsparcia, realizowane są na terytorium innego państwa członkowskiego). Pomoc de minimis udzielona czeskim i polskim partnerom projektu w ramach programu Interreg </w:t>
            </w:r>
            <w:r w:rsidR="000F4CA0" w:rsidRPr="000F4CA0">
              <w:rPr>
                <w:rFonts w:eastAsia="Calibri" w:cs="Arial"/>
                <w:bdr w:val="nil"/>
                <w:lang w:val="pl-PL" w:bidi="pl-PL"/>
              </w:rPr>
              <w:t>Czechy – Polska</w:t>
            </w:r>
            <w:r w:rsidRPr="006A451D">
              <w:rPr>
                <w:rFonts w:eastAsia="Calibri" w:cs="Arial"/>
                <w:bdr w:val="nil"/>
                <w:lang w:val="pl-PL" w:bidi="pl-PL"/>
              </w:rPr>
              <w:t xml:space="preserve"> będzie ewidencjonowana w rejestrze de minimis w Republice Czeskiej.</w:t>
            </w:r>
          </w:p>
        </w:tc>
      </w:tr>
      <w:tr w:rsidR="00972D89" w:rsidRPr="0013431E" w14:paraId="17171B7C" w14:textId="77777777" w:rsidTr="00E24D2A">
        <w:tc>
          <w:tcPr>
            <w:tcW w:w="6711" w:type="dxa"/>
          </w:tcPr>
          <w:p w14:paraId="57B85EE4" w14:textId="77777777" w:rsidR="00972D89" w:rsidRPr="006A451D" w:rsidRDefault="00972D89" w:rsidP="00353BF3">
            <w:pPr>
              <w:autoSpaceDE w:val="0"/>
              <w:autoSpaceDN w:val="0"/>
              <w:adjustRightInd w:val="0"/>
              <w:rPr>
                <w:rFonts w:cs="Arial"/>
                <w:color w:val="000000"/>
              </w:rPr>
            </w:pPr>
            <w:r w:rsidRPr="006A451D">
              <w:rPr>
                <w:rFonts w:cs="Arial"/>
                <w:color w:val="000000"/>
              </w:rPr>
              <w:t xml:space="preserve">Nově nařízení upravující poskytování podpory de minimis vymezuje specifický pojem „jeden podnik“. Tento pojem zahrnuje skupinu tzv. propojených podniků, které jsou při poskytování podpory de minimis považovány za jeden podnik. </w:t>
            </w:r>
          </w:p>
        </w:tc>
        <w:tc>
          <w:tcPr>
            <w:tcW w:w="7509" w:type="dxa"/>
          </w:tcPr>
          <w:p w14:paraId="571D38C1" w14:textId="77777777" w:rsidR="00972D89" w:rsidRPr="006A451D" w:rsidRDefault="00972D89" w:rsidP="00353BF3">
            <w:pPr>
              <w:autoSpaceDE w:val="0"/>
              <w:autoSpaceDN w:val="0"/>
              <w:adjustRightInd w:val="0"/>
              <w:spacing w:after="120"/>
              <w:rPr>
                <w:rFonts w:cs="Arial"/>
                <w:color w:val="000000"/>
                <w:lang w:val="pl-PL"/>
              </w:rPr>
            </w:pPr>
            <w:r w:rsidRPr="006A451D">
              <w:rPr>
                <w:rFonts w:eastAsia="Calibri" w:cs="Arial"/>
                <w:color w:val="000000"/>
                <w:bdr w:val="nil"/>
                <w:lang w:val="pl-PL" w:bidi="pl-PL"/>
              </w:rPr>
              <w:t xml:space="preserve">Nowe rozporządzenie regulujące udzielanie pomocy de minimis wprowadza specyficzny termin „jedno przedsiębiorstwo”. Termin ten obejmuje grupę, tzw. przedsiębiorstw powiązanych, które na potrzeby pomocy de minimis uznawane są za jedno przedsiębiorstwo. </w:t>
            </w:r>
          </w:p>
        </w:tc>
      </w:tr>
      <w:tr w:rsidR="00972D89" w:rsidRPr="0013431E" w14:paraId="0C4D1AAE" w14:textId="77777777" w:rsidTr="00E24D2A">
        <w:tc>
          <w:tcPr>
            <w:tcW w:w="6711" w:type="dxa"/>
          </w:tcPr>
          <w:p w14:paraId="6C860F94" w14:textId="1051A5B6" w:rsidR="00972D89" w:rsidRPr="006A451D" w:rsidRDefault="000F4CA0" w:rsidP="000F4CA0">
            <w:pPr>
              <w:autoSpaceDE w:val="0"/>
              <w:autoSpaceDN w:val="0"/>
              <w:adjustRightInd w:val="0"/>
              <w:rPr>
                <w:rFonts w:cs="Arial"/>
                <w:color w:val="000000"/>
              </w:rPr>
            </w:pPr>
            <w:r w:rsidRPr="000F4CA0">
              <w:rPr>
                <w:rFonts w:cs="Arial"/>
                <w:color w:val="000000"/>
              </w:rPr>
              <w:t>Nařízení upravující poskytování podpory de minimis vymezuje specifický pojem „jeden podnik“.</w:t>
            </w:r>
            <w:r>
              <w:rPr>
                <w:rFonts w:cs="Arial"/>
                <w:color w:val="000000"/>
              </w:rPr>
              <w:t xml:space="preserve"> </w:t>
            </w:r>
            <w:r w:rsidRPr="000F4CA0">
              <w:rPr>
                <w:rFonts w:cs="Arial"/>
                <w:color w:val="000000"/>
              </w:rPr>
              <w:t>Za</w:t>
            </w:r>
            <w:r>
              <w:rPr>
                <w:rFonts w:cs="Arial"/>
                <w:color w:val="000000"/>
              </w:rPr>
              <w:t xml:space="preserve"> </w:t>
            </w:r>
            <w:r w:rsidRPr="000F4CA0">
              <w:rPr>
                <w:rFonts w:cs="Arial"/>
                <w:color w:val="000000"/>
              </w:rPr>
              <w:t>„jeden podnik“ se považuje i skupina tzv. propojených podniků, které tvoří skupinu podniků</w:t>
            </w:r>
            <w:r>
              <w:rPr>
                <w:rFonts w:cs="Arial"/>
                <w:color w:val="000000"/>
              </w:rPr>
              <w:t xml:space="preserve"> </w:t>
            </w:r>
            <w:r w:rsidRPr="000F4CA0">
              <w:rPr>
                <w:rFonts w:cs="Arial"/>
                <w:color w:val="000000"/>
              </w:rPr>
              <w:t>prostřednictvím přímého či nepřímého ovládání většiny hlasovacích práv podniku jiným podnikem</w:t>
            </w:r>
            <w:r>
              <w:rPr>
                <w:rFonts w:cs="Arial"/>
                <w:color w:val="000000"/>
              </w:rPr>
              <w:t xml:space="preserve"> </w:t>
            </w:r>
            <w:r w:rsidRPr="000F4CA0">
              <w:rPr>
                <w:rFonts w:cs="Arial"/>
                <w:color w:val="000000"/>
              </w:rPr>
              <w:t>nebo možností uplatňovat rozhodující vliv na jiný podnik. Typickým příkladem je dceřiná společnost</w:t>
            </w:r>
            <w:r>
              <w:rPr>
                <w:rFonts w:cs="Arial"/>
                <w:color w:val="000000"/>
              </w:rPr>
              <w:t xml:space="preserve"> </w:t>
            </w:r>
            <w:r w:rsidRPr="000F4CA0">
              <w:rPr>
                <w:rFonts w:cs="Arial"/>
                <w:color w:val="000000"/>
              </w:rPr>
              <w:t>100% vlastněná mateřskou společností. V případě, kdy se jedná o propojený podnik, je nezbytné</w:t>
            </w:r>
            <w:r>
              <w:rPr>
                <w:rFonts w:cs="Arial"/>
                <w:color w:val="000000"/>
              </w:rPr>
              <w:t xml:space="preserve"> </w:t>
            </w:r>
            <w:r w:rsidRPr="000F4CA0">
              <w:rPr>
                <w:rFonts w:cs="Arial"/>
                <w:color w:val="000000"/>
              </w:rPr>
              <w:t>zohlednit všechny podpory de minimis obdržené všemi podniky v rámci propojeného podniku.</w:t>
            </w:r>
            <w:r>
              <w:rPr>
                <w:rFonts w:cs="Arial"/>
                <w:color w:val="000000"/>
              </w:rPr>
              <w:t xml:space="preserve"> </w:t>
            </w:r>
            <w:r w:rsidRPr="000F4CA0">
              <w:rPr>
                <w:rFonts w:cs="Arial"/>
                <w:color w:val="000000"/>
              </w:rPr>
              <w:t>Podniky, které mají přímou vazbu na tentýž orgán veřejné moci (tj. obec, kraj apod.) a nemají žádný</w:t>
            </w:r>
            <w:r>
              <w:rPr>
                <w:rFonts w:cs="Arial"/>
                <w:color w:val="000000"/>
              </w:rPr>
              <w:t xml:space="preserve"> </w:t>
            </w:r>
            <w:r w:rsidRPr="000F4CA0">
              <w:rPr>
                <w:rFonts w:cs="Arial"/>
                <w:color w:val="000000"/>
              </w:rPr>
              <w:t>vzájemný vztah, se za „propojené podniky“ nepovažují.Propojenost podniků pro účely podpory de</w:t>
            </w:r>
            <w:r>
              <w:rPr>
                <w:rFonts w:cs="Arial"/>
                <w:color w:val="000000"/>
              </w:rPr>
              <w:t xml:space="preserve"> </w:t>
            </w:r>
            <w:r w:rsidRPr="000F4CA0">
              <w:rPr>
                <w:rFonts w:cs="Arial"/>
                <w:color w:val="000000"/>
              </w:rPr>
              <w:t>minimis se sleduje napříč všemi státy.</w:t>
            </w:r>
          </w:p>
        </w:tc>
        <w:tc>
          <w:tcPr>
            <w:tcW w:w="7509" w:type="dxa"/>
          </w:tcPr>
          <w:p w14:paraId="272322BF" w14:textId="77777777" w:rsidR="000F4CA0" w:rsidRPr="000F4CA0" w:rsidRDefault="000F4CA0" w:rsidP="000F4CA0">
            <w:pPr>
              <w:autoSpaceDE w:val="0"/>
              <w:autoSpaceDN w:val="0"/>
              <w:adjustRightInd w:val="0"/>
              <w:spacing w:after="0"/>
              <w:rPr>
                <w:rFonts w:eastAsia="Calibri" w:cs="Arial"/>
                <w:color w:val="000000"/>
                <w:bdr w:val="nil"/>
                <w:lang w:val="pl-PL" w:bidi="pl-PL"/>
              </w:rPr>
            </w:pPr>
            <w:r w:rsidRPr="000F4CA0">
              <w:rPr>
                <w:rFonts w:eastAsia="Calibri" w:cs="Arial"/>
                <w:color w:val="000000"/>
                <w:bdr w:val="nil"/>
                <w:lang w:val="pl-PL" w:bidi="pl-PL"/>
              </w:rPr>
              <w:t>W rozporządzeniu de minimis zdefiniowano szczególne pojęcie "jednego przedsiębiorstwa". Za</w:t>
            </w:r>
          </w:p>
          <w:p w14:paraId="09F8D0C2" w14:textId="77777777" w:rsidR="000F4CA0" w:rsidRPr="000F4CA0" w:rsidRDefault="000F4CA0" w:rsidP="000F4CA0">
            <w:pPr>
              <w:autoSpaceDE w:val="0"/>
              <w:autoSpaceDN w:val="0"/>
              <w:adjustRightInd w:val="0"/>
              <w:spacing w:after="0"/>
              <w:rPr>
                <w:rFonts w:eastAsia="Calibri" w:cs="Arial"/>
                <w:color w:val="000000"/>
                <w:bdr w:val="nil"/>
                <w:lang w:val="pl-PL" w:bidi="pl-PL"/>
              </w:rPr>
            </w:pPr>
            <w:r w:rsidRPr="000F4CA0">
              <w:rPr>
                <w:rFonts w:eastAsia="Calibri" w:cs="Arial"/>
                <w:color w:val="000000"/>
                <w:bdr w:val="nil"/>
                <w:lang w:val="pl-PL" w:bidi="pl-PL"/>
              </w:rPr>
              <w:t>"jedno przedsiębiorstwo" uważa się też grupę tzw. przedsiębiorstw powiązanych, które tworzą grupę</w:t>
            </w:r>
          </w:p>
          <w:p w14:paraId="296D4E03" w14:textId="77777777" w:rsidR="000F4CA0" w:rsidRPr="000F4CA0" w:rsidRDefault="000F4CA0" w:rsidP="000F4CA0">
            <w:pPr>
              <w:autoSpaceDE w:val="0"/>
              <w:autoSpaceDN w:val="0"/>
              <w:adjustRightInd w:val="0"/>
              <w:spacing w:after="0"/>
              <w:rPr>
                <w:rFonts w:eastAsia="Calibri" w:cs="Arial"/>
                <w:color w:val="000000"/>
                <w:bdr w:val="nil"/>
                <w:lang w:val="pl-PL" w:bidi="pl-PL"/>
              </w:rPr>
            </w:pPr>
            <w:r w:rsidRPr="000F4CA0">
              <w:rPr>
                <w:rFonts w:eastAsia="Calibri" w:cs="Arial"/>
                <w:color w:val="000000"/>
                <w:bdr w:val="nil"/>
                <w:lang w:val="pl-PL" w:bidi="pl-PL"/>
              </w:rPr>
              <w:t>przedsiębiorstw poprzez bezpośrednią lub pośrednią kontrolę nad większością praw głosu w</w:t>
            </w:r>
          </w:p>
          <w:p w14:paraId="61569105" w14:textId="77777777" w:rsidR="000F4CA0" w:rsidRPr="000F4CA0" w:rsidRDefault="000F4CA0" w:rsidP="000F4CA0">
            <w:pPr>
              <w:autoSpaceDE w:val="0"/>
              <w:autoSpaceDN w:val="0"/>
              <w:adjustRightInd w:val="0"/>
              <w:spacing w:after="0"/>
              <w:rPr>
                <w:rFonts w:eastAsia="Calibri" w:cs="Arial"/>
                <w:color w:val="000000"/>
                <w:bdr w:val="nil"/>
                <w:lang w:val="pl-PL" w:bidi="pl-PL"/>
              </w:rPr>
            </w:pPr>
            <w:r w:rsidRPr="000F4CA0">
              <w:rPr>
                <w:rFonts w:eastAsia="Calibri" w:cs="Arial"/>
                <w:color w:val="000000"/>
                <w:bdr w:val="nil"/>
                <w:lang w:val="pl-PL" w:bidi="pl-PL"/>
              </w:rPr>
              <w:t>przedsiębiorstwie przez inne przedsiębiorstwo lub możliwość wywierania decydującego wpływu na</w:t>
            </w:r>
          </w:p>
          <w:p w14:paraId="5106550A" w14:textId="77777777" w:rsidR="000F4CA0" w:rsidRPr="000F4CA0" w:rsidRDefault="000F4CA0" w:rsidP="000F4CA0">
            <w:pPr>
              <w:autoSpaceDE w:val="0"/>
              <w:autoSpaceDN w:val="0"/>
              <w:adjustRightInd w:val="0"/>
              <w:spacing w:after="0"/>
              <w:rPr>
                <w:rFonts w:eastAsia="Calibri" w:cs="Arial"/>
                <w:color w:val="000000"/>
                <w:bdr w:val="nil"/>
                <w:lang w:val="pl-PL" w:bidi="pl-PL"/>
              </w:rPr>
            </w:pPr>
            <w:r w:rsidRPr="000F4CA0">
              <w:rPr>
                <w:rFonts w:eastAsia="Calibri" w:cs="Arial"/>
                <w:color w:val="000000"/>
                <w:bdr w:val="nil"/>
                <w:lang w:val="pl-PL" w:bidi="pl-PL"/>
              </w:rPr>
              <w:t>inne przedsiębiorstwo. Typowym przykładem jest spółka zależna będąca 100% własnością spółki</w:t>
            </w:r>
          </w:p>
          <w:p w14:paraId="7AF953DF" w14:textId="77777777" w:rsidR="000F4CA0" w:rsidRPr="000F4CA0" w:rsidRDefault="000F4CA0" w:rsidP="000F4CA0">
            <w:pPr>
              <w:autoSpaceDE w:val="0"/>
              <w:autoSpaceDN w:val="0"/>
              <w:adjustRightInd w:val="0"/>
              <w:spacing w:after="0"/>
              <w:rPr>
                <w:rFonts w:eastAsia="Calibri" w:cs="Arial"/>
                <w:color w:val="000000"/>
                <w:bdr w:val="nil"/>
                <w:lang w:val="pl-PL" w:bidi="pl-PL"/>
              </w:rPr>
            </w:pPr>
            <w:r w:rsidRPr="000F4CA0">
              <w:rPr>
                <w:rFonts w:eastAsia="Calibri" w:cs="Arial"/>
                <w:color w:val="000000"/>
                <w:bdr w:val="nil"/>
                <w:lang w:val="pl-PL" w:bidi="pl-PL"/>
              </w:rPr>
              <w:t>dominującej. W przypadku przedsiębiorstwa powiązanego konieczne jest uwzględnienie całej</w:t>
            </w:r>
          </w:p>
          <w:p w14:paraId="4A1379CA" w14:textId="77777777" w:rsidR="000F4CA0" w:rsidRPr="000F4CA0" w:rsidRDefault="000F4CA0" w:rsidP="000F4CA0">
            <w:pPr>
              <w:autoSpaceDE w:val="0"/>
              <w:autoSpaceDN w:val="0"/>
              <w:adjustRightInd w:val="0"/>
              <w:spacing w:after="0"/>
              <w:rPr>
                <w:rFonts w:eastAsia="Calibri" w:cs="Arial"/>
                <w:color w:val="000000"/>
                <w:bdr w:val="nil"/>
                <w:lang w:val="pl-PL" w:bidi="pl-PL"/>
              </w:rPr>
            </w:pPr>
            <w:r w:rsidRPr="000F4CA0">
              <w:rPr>
                <w:rFonts w:eastAsia="Calibri" w:cs="Arial"/>
                <w:color w:val="000000"/>
                <w:bdr w:val="nil"/>
                <w:lang w:val="pl-PL" w:bidi="pl-PL"/>
              </w:rPr>
              <w:t>pomocy de minimis otrzymanej przez wszystkie przedsiębiorstwa w ramach przedsiębiorstwa</w:t>
            </w:r>
          </w:p>
          <w:p w14:paraId="683403E3" w14:textId="77777777" w:rsidR="000F4CA0" w:rsidRPr="000F4CA0" w:rsidRDefault="000F4CA0" w:rsidP="000F4CA0">
            <w:pPr>
              <w:autoSpaceDE w:val="0"/>
              <w:autoSpaceDN w:val="0"/>
              <w:adjustRightInd w:val="0"/>
              <w:spacing w:after="0"/>
              <w:rPr>
                <w:rFonts w:eastAsia="Calibri" w:cs="Arial"/>
                <w:color w:val="000000"/>
                <w:bdr w:val="nil"/>
                <w:lang w:val="pl-PL" w:bidi="pl-PL"/>
              </w:rPr>
            </w:pPr>
            <w:r w:rsidRPr="000F4CA0">
              <w:rPr>
                <w:rFonts w:eastAsia="Calibri" w:cs="Arial"/>
                <w:color w:val="000000"/>
                <w:bdr w:val="nil"/>
                <w:lang w:val="pl-PL" w:bidi="pl-PL"/>
              </w:rPr>
              <w:t>powiązanego. Przedsiębiorstwa, które mają bezpośredni związek z tym samym organem publicznym</w:t>
            </w:r>
          </w:p>
          <w:p w14:paraId="2E85FC93" w14:textId="77777777" w:rsidR="000F4CA0" w:rsidRPr="000F4CA0" w:rsidRDefault="000F4CA0" w:rsidP="000F4CA0">
            <w:pPr>
              <w:autoSpaceDE w:val="0"/>
              <w:autoSpaceDN w:val="0"/>
              <w:adjustRightInd w:val="0"/>
              <w:spacing w:after="0"/>
              <w:rPr>
                <w:rFonts w:eastAsia="Calibri" w:cs="Arial"/>
                <w:color w:val="000000"/>
                <w:bdr w:val="nil"/>
                <w:lang w:val="pl-PL" w:bidi="pl-PL"/>
              </w:rPr>
            </w:pPr>
            <w:r w:rsidRPr="000F4CA0">
              <w:rPr>
                <w:rFonts w:eastAsia="Calibri" w:cs="Arial"/>
                <w:color w:val="000000"/>
                <w:bdr w:val="nil"/>
                <w:lang w:val="pl-PL" w:bidi="pl-PL"/>
              </w:rPr>
              <w:t>(tj. gminą, regionem itp.) i nie są ze sobą powiązane, nie są uważane za „przedsiębiorstwa</w:t>
            </w:r>
          </w:p>
          <w:p w14:paraId="65375676" w14:textId="77777777" w:rsidR="000F4CA0" w:rsidRPr="000F4CA0" w:rsidRDefault="000F4CA0" w:rsidP="000F4CA0">
            <w:pPr>
              <w:autoSpaceDE w:val="0"/>
              <w:autoSpaceDN w:val="0"/>
              <w:adjustRightInd w:val="0"/>
              <w:spacing w:after="0"/>
              <w:rPr>
                <w:rFonts w:eastAsia="Calibri" w:cs="Arial"/>
                <w:color w:val="000000"/>
                <w:bdr w:val="nil"/>
                <w:lang w:val="pl-PL" w:bidi="pl-PL"/>
              </w:rPr>
            </w:pPr>
            <w:r w:rsidRPr="000F4CA0">
              <w:rPr>
                <w:rFonts w:eastAsia="Calibri" w:cs="Arial"/>
                <w:color w:val="000000"/>
                <w:bdr w:val="nil"/>
                <w:lang w:val="pl-PL" w:bidi="pl-PL"/>
              </w:rPr>
              <w:t>powiązane”.4 Wzajemne powiązania przedsiębiorstw do celów pomocy de minimis są monitorowane</w:t>
            </w:r>
          </w:p>
          <w:p w14:paraId="6E108F0F" w14:textId="16FCDC83" w:rsidR="00972D89" w:rsidRPr="006A451D" w:rsidRDefault="000F4CA0" w:rsidP="000F4CA0">
            <w:pPr>
              <w:autoSpaceDE w:val="0"/>
              <w:autoSpaceDN w:val="0"/>
              <w:adjustRightInd w:val="0"/>
              <w:spacing w:after="0"/>
              <w:rPr>
                <w:rFonts w:cs="Arial"/>
                <w:color w:val="000000"/>
                <w:lang w:val="pl-PL"/>
              </w:rPr>
            </w:pPr>
            <w:r w:rsidRPr="000F4CA0">
              <w:rPr>
                <w:rFonts w:eastAsia="Calibri" w:cs="Arial"/>
                <w:color w:val="000000"/>
                <w:bdr w:val="nil"/>
                <w:lang w:val="pl-PL" w:bidi="pl-PL"/>
              </w:rPr>
              <w:t>we wszystkich krajach.</w:t>
            </w:r>
            <w:r w:rsidR="00972D89" w:rsidRPr="006A451D">
              <w:rPr>
                <w:rFonts w:eastAsia="Calibri" w:cs="Arial"/>
                <w:color w:val="000000"/>
                <w:bdr w:val="nil"/>
                <w:lang w:val="pl-PL" w:bidi="pl-PL"/>
              </w:rPr>
              <w:t xml:space="preserve"> </w:t>
            </w:r>
          </w:p>
        </w:tc>
      </w:tr>
      <w:tr w:rsidR="00972D89" w:rsidRPr="0013431E" w14:paraId="45C8D9DE" w14:textId="77777777" w:rsidTr="00E24D2A">
        <w:tc>
          <w:tcPr>
            <w:tcW w:w="6711" w:type="dxa"/>
          </w:tcPr>
          <w:p w14:paraId="05052BCE" w14:textId="77777777" w:rsidR="00972D89" w:rsidRPr="006A451D" w:rsidRDefault="00972D89" w:rsidP="00353BF3">
            <w:pPr>
              <w:autoSpaceDE w:val="0"/>
              <w:autoSpaceDN w:val="0"/>
              <w:adjustRightInd w:val="0"/>
              <w:rPr>
                <w:rFonts w:cs="Arial"/>
                <w:color w:val="000000"/>
              </w:rPr>
            </w:pPr>
            <w:r w:rsidRPr="006A451D">
              <w:rPr>
                <w:rFonts w:cs="Arial"/>
                <w:color w:val="000000"/>
              </w:rPr>
              <w:lastRenderedPageBreak/>
              <w:t>V případě, kdy se jedná o propojený podnik, je nezbytné zohlednit všechny podpory de minimis obdržené všemi podniky. Propojenost podniků se sleduje pouze u podniků sídlících na území stejného členského státu.</w:t>
            </w:r>
          </w:p>
        </w:tc>
        <w:tc>
          <w:tcPr>
            <w:tcW w:w="7509" w:type="dxa"/>
          </w:tcPr>
          <w:p w14:paraId="326E1FDB" w14:textId="77777777" w:rsidR="00972D89" w:rsidRPr="006A451D" w:rsidRDefault="00972D89" w:rsidP="00353BF3">
            <w:pPr>
              <w:autoSpaceDE w:val="0"/>
              <w:autoSpaceDN w:val="0"/>
              <w:adjustRightInd w:val="0"/>
              <w:spacing w:after="120"/>
              <w:rPr>
                <w:rFonts w:cs="Arial"/>
                <w:color w:val="000000"/>
                <w:lang w:val="pl-PL"/>
              </w:rPr>
            </w:pPr>
            <w:r w:rsidRPr="006A451D">
              <w:rPr>
                <w:rFonts w:eastAsia="Calibri" w:cs="Arial"/>
                <w:color w:val="000000"/>
                <w:bdr w:val="nil"/>
                <w:lang w:val="pl-PL" w:bidi="pl-PL"/>
              </w:rPr>
              <w:t>W przypadku przedsiębiorstw powiązanych, należy wziąć pod uwagę wszystkie przypadki pomocy de minimis otrzymanej przez poszczególne przedsiębiorstwa z grupy. Powiązanie przedsiębiorstw analizowane jest wyłącznie w przypadku przedsiębiorstw mających siedzibę na terytorium tego samego państwa członkowskiego.</w:t>
            </w:r>
          </w:p>
        </w:tc>
      </w:tr>
      <w:tr w:rsidR="00972D89" w:rsidRPr="0013431E" w14:paraId="75094996" w14:textId="77777777" w:rsidTr="00E24D2A">
        <w:tc>
          <w:tcPr>
            <w:tcW w:w="6711" w:type="dxa"/>
          </w:tcPr>
          <w:p w14:paraId="357C8ABC" w14:textId="4BFEE398" w:rsidR="00972D89" w:rsidRPr="006A451D" w:rsidRDefault="00972D89" w:rsidP="00E223F7">
            <w:pPr>
              <w:rPr>
                <w:rFonts w:cs="Arial"/>
              </w:rPr>
            </w:pPr>
            <w:r w:rsidRPr="006A451D">
              <w:rPr>
                <w:rFonts w:cs="Arial"/>
              </w:rPr>
              <w:t xml:space="preserve">Pokud žadatel uvažuje o předložení projektové žádosti v rámci režimu „de minimis“, předloží zároveň s projektovou žádostí a stanovenými přílohami i Čestné prohlášení žadatele o podporu v režimu de </w:t>
            </w:r>
            <w:r w:rsidRPr="00E223F7">
              <w:rPr>
                <w:rFonts w:cs="Arial"/>
              </w:rPr>
              <w:t>minimis</w:t>
            </w:r>
            <w:r w:rsidR="008609AF">
              <w:rPr>
                <w:rFonts w:cs="Arial"/>
              </w:rPr>
              <w:t>.</w:t>
            </w:r>
          </w:p>
        </w:tc>
        <w:tc>
          <w:tcPr>
            <w:tcW w:w="7509" w:type="dxa"/>
          </w:tcPr>
          <w:p w14:paraId="05E31E2D" w14:textId="0A99097B" w:rsidR="00972D89" w:rsidRPr="006A451D" w:rsidRDefault="00972D89" w:rsidP="00D91D3D">
            <w:pPr>
              <w:spacing w:after="120"/>
              <w:rPr>
                <w:rFonts w:cs="Arial"/>
                <w:lang w:val="pl-PL"/>
              </w:rPr>
            </w:pPr>
            <w:r w:rsidRPr="006A451D">
              <w:rPr>
                <w:rFonts w:eastAsia="Calibri" w:cs="Arial"/>
                <w:bdr w:val="nil"/>
                <w:lang w:val="pl-PL" w:bidi="pl-PL"/>
              </w:rPr>
              <w:t xml:space="preserve">Jeżeli wnioskodawca rozważa złożenie wniosku projektowego, uwzględniając wystąpienie pomocy „de minimis”, wraz z wnioskiem projektowym i odpowiednimi załącznikami złożyć musi również Oświadczenie wnioskodawcy o udzielonej pomocy de </w:t>
            </w:r>
            <w:r w:rsidRPr="00E223F7">
              <w:rPr>
                <w:rFonts w:eastAsia="Calibri" w:cs="Arial"/>
                <w:bdr w:val="nil"/>
                <w:lang w:val="pl-PL" w:bidi="pl-PL"/>
              </w:rPr>
              <w:t>minimis</w:t>
            </w:r>
            <w:r w:rsidR="008609AF">
              <w:rPr>
                <w:rFonts w:eastAsia="Calibri" w:cs="Arial"/>
                <w:bdr w:val="nil"/>
                <w:lang w:val="pl-PL" w:bidi="pl-PL"/>
              </w:rPr>
              <w:t>.</w:t>
            </w:r>
          </w:p>
        </w:tc>
      </w:tr>
      <w:tr w:rsidR="00972D89" w:rsidRPr="0013431E" w14:paraId="403E4433" w14:textId="77777777" w:rsidTr="00E24D2A">
        <w:tc>
          <w:tcPr>
            <w:tcW w:w="6711" w:type="dxa"/>
          </w:tcPr>
          <w:p w14:paraId="0058E3E6" w14:textId="6108DA8A" w:rsidR="00972D89" w:rsidRPr="006A451D" w:rsidRDefault="00972D89" w:rsidP="00353BF3">
            <w:pPr>
              <w:pStyle w:val="NormalnyWeb"/>
              <w:jc w:val="both"/>
              <w:rPr>
                <w:rFonts w:ascii="Arial" w:hAnsi="Arial" w:cs="Arial"/>
                <w:sz w:val="16"/>
                <w:szCs w:val="16"/>
              </w:rPr>
            </w:pPr>
            <w:r w:rsidRPr="006A451D">
              <w:rPr>
                <w:rFonts w:ascii="Arial" w:hAnsi="Arial" w:cs="Arial"/>
                <w:sz w:val="16"/>
                <w:szCs w:val="16"/>
              </w:rPr>
              <w:t xml:space="preserve">Podpora de minimis se považuje za poskytnutou ke dni, kdy právní akt zakládající její poskytnutí nabude právní moci či účinnosti. V případě programu Interreg </w:t>
            </w:r>
            <w:r w:rsidR="008609AF">
              <w:rPr>
                <w:rFonts w:ascii="Arial" w:hAnsi="Arial" w:cs="Arial"/>
                <w:sz w:val="16"/>
                <w:szCs w:val="16"/>
              </w:rPr>
              <w:t>Česko -</w:t>
            </w:r>
            <w:r w:rsidRPr="006A451D">
              <w:rPr>
                <w:rFonts w:ascii="Arial" w:hAnsi="Arial" w:cs="Arial"/>
                <w:sz w:val="16"/>
                <w:szCs w:val="16"/>
              </w:rPr>
              <w:t xml:space="preserve"> Polsko je rozhodným dnem den podpisu Smlouvy o projektu / den vydání Rozhodnutí o poskytnutí dotace.</w:t>
            </w:r>
          </w:p>
        </w:tc>
        <w:tc>
          <w:tcPr>
            <w:tcW w:w="7509" w:type="dxa"/>
          </w:tcPr>
          <w:p w14:paraId="6D2BB150" w14:textId="45F5D8E9" w:rsidR="00972D89" w:rsidRPr="006A451D" w:rsidRDefault="00972D89" w:rsidP="00353BF3">
            <w:pPr>
              <w:pStyle w:val="NormalnyWeb"/>
              <w:spacing w:before="0" w:beforeAutospacing="0" w:after="120" w:afterAutospacing="0"/>
              <w:jc w:val="both"/>
              <w:rPr>
                <w:rFonts w:ascii="Arial" w:hAnsi="Arial" w:cs="Arial"/>
                <w:sz w:val="16"/>
                <w:szCs w:val="16"/>
              </w:rPr>
            </w:pPr>
            <w:r w:rsidRPr="006A451D">
              <w:rPr>
                <w:rFonts w:ascii="Arial" w:eastAsia="Calibri" w:hAnsi="Arial" w:cs="Arial"/>
                <w:sz w:val="16"/>
                <w:szCs w:val="16"/>
                <w:bdr w:val="nil"/>
                <w:lang w:bidi="pl-PL"/>
              </w:rPr>
              <w:t xml:space="preserve">Pomoc de minimis uznaje się za udzieloną w dniu, w którym akt prawny ustanawiający jej udzielenie nabywa mocy prawnej i wchodzi w życie. W przypadku programu Interreg </w:t>
            </w:r>
            <w:r w:rsidR="008609AF">
              <w:rPr>
                <w:rFonts w:ascii="Arial" w:eastAsia="Calibri" w:hAnsi="Arial" w:cs="Arial"/>
                <w:sz w:val="16"/>
                <w:szCs w:val="16"/>
                <w:bdr w:val="nil"/>
                <w:lang w:bidi="pl-PL"/>
              </w:rPr>
              <w:t xml:space="preserve">Czechy </w:t>
            </w:r>
            <w:r w:rsidRPr="006A451D">
              <w:rPr>
                <w:rFonts w:ascii="Arial" w:eastAsia="Calibri" w:hAnsi="Arial" w:cs="Arial"/>
                <w:sz w:val="16"/>
                <w:szCs w:val="16"/>
                <w:bdr w:val="nil"/>
                <w:lang w:bidi="pl-PL"/>
              </w:rPr>
              <w:t>- Polska dniem decydującym jest dzień podpisania Umowy projektowej / dzień wydania Decyzji o udzieleniu dotacji.</w:t>
            </w:r>
          </w:p>
        </w:tc>
      </w:tr>
      <w:tr w:rsidR="00972D89" w:rsidRPr="0013431E" w14:paraId="511FD983" w14:textId="77777777" w:rsidTr="00E24D2A">
        <w:tc>
          <w:tcPr>
            <w:tcW w:w="6711" w:type="dxa"/>
          </w:tcPr>
          <w:p w14:paraId="2FCB1D3D" w14:textId="77777777" w:rsidR="00972D89" w:rsidRPr="006A451D" w:rsidRDefault="00972D89" w:rsidP="00353BF3">
            <w:pPr>
              <w:pStyle w:val="NormalnyWeb"/>
              <w:jc w:val="both"/>
              <w:rPr>
                <w:rFonts w:ascii="Arial" w:hAnsi="Arial" w:cs="Arial"/>
                <w:sz w:val="16"/>
                <w:szCs w:val="16"/>
              </w:rPr>
            </w:pPr>
            <w:r w:rsidRPr="006A451D">
              <w:rPr>
                <w:rFonts w:ascii="Arial" w:hAnsi="Arial" w:cs="Arial"/>
                <w:sz w:val="16"/>
                <w:szCs w:val="16"/>
              </w:rPr>
              <w:t xml:space="preserve">Podpora de minimis je upravena nařízením Komise (EU) č. 1407/2013, které je zveřejněno na webových stránkách programu </w:t>
            </w:r>
            <w:hyperlink r:id="rId10" w:history="1">
              <w:r w:rsidRPr="006A451D">
                <w:rPr>
                  <w:rStyle w:val="Hipercze"/>
                  <w:rFonts w:ascii="Arial" w:hAnsi="Arial" w:cs="Arial"/>
                  <w:sz w:val="16"/>
                  <w:szCs w:val="16"/>
                </w:rPr>
                <w:t>http://www.cz-pl.eu</w:t>
              </w:r>
            </w:hyperlink>
            <w:r w:rsidRPr="006A451D">
              <w:rPr>
                <w:rFonts w:ascii="Arial" w:hAnsi="Arial" w:cs="Arial"/>
                <w:sz w:val="16"/>
                <w:szCs w:val="16"/>
              </w:rPr>
              <w:t>.</w:t>
            </w:r>
          </w:p>
        </w:tc>
        <w:tc>
          <w:tcPr>
            <w:tcW w:w="7509" w:type="dxa"/>
          </w:tcPr>
          <w:p w14:paraId="1E2D764B" w14:textId="77777777" w:rsidR="00972D89" w:rsidRPr="006A451D" w:rsidRDefault="00972D89" w:rsidP="00353BF3">
            <w:pPr>
              <w:pStyle w:val="NormalnyWeb"/>
              <w:spacing w:before="0" w:beforeAutospacing="0" w:after="120" w:afterAutospacing="0"/>
              <w:jc w:val="both"/>
              <w:rPr>
                <w:rFonts w:ascii="Arial" w:hAnsi="Arial" w:cs="Arial"/>
                <w:sz w:val="16"/>
                <w:szCs w:val="16"/>
              </w:rPr>
            </w:pPr>
            <w:r w:rsidRPr="006A451D">
              <w:rPr>
                <w:rFonts w:ascii="Arial" w:eastAsia="Calibri" w:hAnsi="Arial" w:cs="Arial"/>
                <w:sz w:val="16"/>
                <w:szCs w:val="16"/>
                <w:bdr w:val="nil"/>
                <w:lang w:bidi="pl-PL"/>
              </w:rPr>
              <w:t xml:space="preserve">Pomoc de minimis regulowana jest przez rozporządzenie Komisji (UE) nr 1407/2013, które opublikowano na stronie internetowej programu </w:t>
            </w:r>
            <w:hyperlink r:id="rId11" w:history="1">
              <w:r w:rsidRPr="006A451D">
                <w:rPr>
                  <w:rStyle w:val="Hipercze"/>
                  <w:rFonts w:ascii="Arial" w:eastAsia="Calibri" w:hAnsi="Arial" w:cs="Arial"/>
                  <w:sz w:val="16"/>
                  <w:szCs w:val="16"/>
                  <w:bdr w:val="nil"/>
                  <w:lang w:bidi="pl-PL"/>
                </w:rPr>
                <w:t>http://www.cz-pl.eu</w:t>
              </w:r>
            </w:hyperlink>
            <w:r w:rsidRPr="006A451D">
              <w:rPr>
                <w:rFonts w:ascii="Arial" w:eastAsia="Calibri" w:hAnsi="Arial" w:cs="Arial"/>
                <w:sz w:val="16"/>
                <w:szCs w:val="16"/>
                <w:bdr w:val="nil"/>
                <w:lang w:bidi="pl-PL"/>
              </w:rPr>
              <w:t>.</w:t>
            </w:r>
          </w:p>
        </w:tc>
      </w:tr>
      <w:tr w:rsidR="00972D89" w:rsidRPr="0013431E" w14:paraId="2EB4EA6A" w14:textId="77777777" w:rsidTr="00E24D2A">
        <w:tc>
          <w:tcPr>
            <w:tcW w:w="6711" w:type="dxa"/>
          </w:tcPr>
          <w:p w14:paraId="023DACE5" w14:textId="77777777" w:rsidR="006F170F" w:rsidRDefault="006F170F" w:rsidP="0042196D">
            <w:pPr>
              <w:pStyle w:val="Akapitzlist"/>
              <w:spacing w:before="0" w:after="0" w:line="240" w:lineRule="auto"/>
              <w:ind w:left="0"/>
              <w:jc w:val="both"/>
              <w:rPr>
                <w:rFonts w:ascii="Arial" w:hAnsi="Arial" w:cs="Arial"/>
                <w:b/>
                <w:sz w:val="16"/>
                <w:szCs w:val="16"/>
                <w:lang w:eastAsia="en-US"/>
              </w:rPr>
            </w:pPr>
          </w:p>
          <w:p w14:paraId="125DC744" w14:textId="77777777" w:rsidR="006F170F" w:rsidRDefault="006F170F" w:rsidP="0042196D">
            <w:pPr>
              <w:pStyle w:val="Akapitzlist"/>
              <w:spacing w:before="0" w:after="0" w:line="240" w:lineRule="auto"/>
              <w:ind w:left="0"/>
              <w:jc w:val="both"/>
              <w:rPr>
                <w:rFonts w:ascii="Arial" w:hAnsi="Arial" w:cs="Arial"/>
                <w:b/>
                <w:sz w:val="16"/>
                <w:szCs w:val="16"/>
                <w:lang w:eastAsia="en-US"/>
              </w:rPr>
            </w:pPr>
          </w:p>
          <w:p w14:paraId="7B32CD93" w14:textId="77777777" w:rsidR="006F170F" w:rsidRDefault="006F170F" w:rsidP="0042196D">
            <w:pPr>
              <w:pStyle w:val="Akapitzlist"/>
              <w:spacing w:before="0" w:after="0" w:line="240" w:lineRule="auto"/>
              <w:ind w:left="0"/>
              <w:jc w:val="both"/>
              <w:rPr>
                <w:rFonts w:ascii="Arial" w:hAnsi="Arial" w:cs="Arial"/>
                <w:b/>
                <w:sz w:val="16"/>
                <w:szCs w:val="16"/>
                <w:lang w:eastAsia="en-US"/>
              </w:rPr>
            </w:pPr>
          </w:p>
          <w:p w14:paraId="58857318" w14:textId="77777777" w:rsidR="006F170F" w:rsidRDefault="006F170F" w:rsidP="0042196D">
            <w:pPr>
              <w:pStyle w:val="Akapitzlist"/>
              <w:spacing w:before="0" w:after="0" w:line="240" w:lineRule="auto"/>
              <w:ind w:left="0"/>
              <w:jc w:val="both"/>
              <w:rPr>
                <w:rFonts w:ascii="Arial" w:hAnsi="Arial" w:cs="Arial"/>
                <w:b/>
                <w:sz w:val="16"/>
                <w:szCs w:val="16"/>
                <w:lang w:eastAsia="en-US"/>
              </w:rPr>
            </w:pPr>
          </w:p>
          <w:p w14:paraId="7B6CF44E" w14:textId="77777777" w:rsidR="00972D89" w:rsidRPr="006F170F" w:rsidRDefault="0042196D" w:rsidP="0042196D">
            <w:pPr>
              <w:pStyle w:val="Akapitzlist"/>
              <w:spacing w:before="0" w:after="0" w:line="240" w:lineRule="auto"/>
              <w:ind w:left="0"/>
              <w:jc w:val="both"/>
              <w:rPr>
                <w:rFonts w:ascii="Arial" w:hAnsi="Arial" w:cs="Arial"/>
                <w:b/>
                <w:lang w:eastAsia="en-US"/>
              </w:rPr>
            </w:pPr>
            <w:r w:rsidRPr="006F170F">
              <w:rPr>
                <w:rFonts w:ascii="Arial" w:hAnsi="Arial" w:cs="Arial"/>
                <w:b/>
                <w:lang w:eastAsia="en-US"/>
              </w:rPr>
              <w:t>Uplatnění blokové výjimky</w:t>
            </w:r>
          </w:p>
          <w:p w14:paraId="4DE84E41" w14:textId="67057C7B" w:rsidR="006F170F" w:rsidRPr="006A451D" w:rsidRDefault="006F170F" w:rsidP="0042196D">
            <w:pPr>
              <w:pStyle w:val="Akapitzlist"/>
              <w:spacing w:before="0" w:after="0" w:line="240" w:lineRule="auto"/>
              <w:ind w:left="0"/>
              <w:jc w:val="both"/>
              <w:rPr>
                <w:rFonts w:ascii="Arial" w:hAnsi="Arial" w:cs="Arial"/>
                <w:b/>
                <w:sz w:val="16"/>
                <w:szCs w:val="16"/>
                <w:lang w:eastAsia="en-US"/>
              </w:rPr>
            </w:pPr>
          </w:p>
        </w:tc>
        <w:tc>
          <w:tcPr>
            <w:tcW w:w="7509" w:type="dxa"/>
          </w:tcPr>
          <w:p w14:paraId="341D9B7A" w14:textId="77777777" w:rsidR="006F170F" w:rsidRDefault="006F170F" w:rsidP="0042196D">
            <w:pPr>
              <w:pStyle w:val="Akapitzlist"/>
              <w:spacing w:before="0" w:after="120" w:line="240" w:lineRule="auto"/>
              <w:ind w:left="0"/>
              <w:contextualSpacing w:val="0"/>
              <w:jc w:val="both"/>
              <w:rPr>
                <w:rFonts w:ascii="Arial" w:hAnsi="Arial" w:cs="Arial"/>
                <w:b/>
                <w:sz w:val="16"/>
                <w:szCs w:val="16"/>
                <w:lang w:val="pl-PL" w:eastAsia="en-US"/>
              </w:rPr>
            </w:pPr>
          </w:p>
          <w:p w14:paraId="7E4778A5" w14:textId="77777777" w:rsidR="006F170F" w:rsidRDefault="006F170F" w:rsidP="0042196D">
            <w:pPr>
              <w:pStyle w:val="Akapitzlist"/>
              <w:spacing w:before="0" w:after="120" w:line="240" w:lineRule="auto"/>
              <w:ind w:left="0"/>
              <w:contextualSpacing w:val="0"/>
              <w:jc w:val="both"/>
              <w:rPr>
                <w:rFonts w:ascii="Arial" w:hAnsi="Arial" w:cs="Arial"/>
                <w:b/>
                <w:sz w:val="16"/>
                <w:szCs w:val="16"/>
                <w:lang w:val="pl-PL" w:eastAsia="en-US"/>
              </w:rPr>
            </w:pPr>
          </w:p>
          <w:p w14:paraId="5B7DF08C" w14:textId="77777777" w:rsidR="00BE4A1A" w:rsidRDefault="00BE4A1A" w:rsidP="0042196D">
            <w:pPr>
              <w:pStyle w:val="Akapitzlist"/>
              <w:spacing w:before="0" w:after="120" w:line="240" w:lineRule="auto"/>
              <w:ind w:left="0"/>
              <w:contextualSpacing w:val="0"/>
              <w:jc w:val="both"/>
              <w:rPr>
                <w:rFonts w:ascii="Arial" w:hAnsi="Arial" w:cs="Arial"/>
                <w:b/>
                <w:sz w:val="16"/>
                <w:szCs w:val="16"/>
                <w:lang w:val="pl-PL" w:eastAsia="en-US"/>
              </w:rPr>
            </w:pPr>
          </w:p>
          <w:p w14:paraId="640F0162" w14:textId="16EC3EF7" w:rsidR="00972D89" w:rsidRPr="006F170F" w:rsidRDefault="0042196D" w:rsidP="0042196D">
            <w:pPr>
              <w:pStyle w:val="Akapitzlist"/>
              <w:spacing w:before="0" w:after="120" w:line="240" w:lineRule="auto"/>
              <w:ind w:left="0"/>
              <w:contextualSpacing w:val="0"/>
              <w:jc w:val="both"/>
              <w:rPr>
                <w:rFonts w:ascii="Arial" w:hAnsi="Arial" w:cs="Arial"/>
                <w:b/>
                <w:lang w:val="pl-PL" w:eastAsia="en-US"/>
              </w:rPr>
            </w:pPr>
            <w:r w:rsidRPr="006F170F">
              <w:rPr>
                <w:rFonts w:ascii="Arial" w:hAnsi="Arial" w:cs="Arial"/>
                <w:b/>
                <w:lang w:val="pl-PL" w:eastAsia="en-US"/>
              </w:rPr>
              <w:t>Zastosowanie wyłączenia blokowego</w:t>
            </w:r>
          </w:p>
        </w:tc>
      </w:tr>
      <w:tr w:rsidR="00972D89" w:rsidRPr="0013431E" w14:paraId="7DAD9EB3" w14:textId="77777777" w:rsidTr="0066775D">
        <w:trPr>
          <w:trHeight w:val="1413"/>
        </w:trPr>
        <w:tc>
          <w:tcPr>
            <w:tcW w:w="6711" w:type="dxa"/>
          </w:tcPr>
          <w:p w14:paraId="26A17C6E" w14:textId="77777777" w:rsidR="0042196D" w:rsidRPr="0042196D" w:rsidRDefault="0042196D" w:rsidP="0042196D">
            <w:pPr>
              <w:rPr>
                <w:rFonts w:cs="Arial"/>
              </w:rPr>
            </w:pPr>
            <w:r w:rsidRPr="0042196D">
              <w:rPr>
                <w:rFonts w:cs="Arial"/>
              </w:rPr>
              <w:t>Blokovými výjimkami se rozumí souhrn právních předpisů použitelných na vymezený okruh</w:t>
            </w:r>
          </w:p>
          <w:p w14:paraId="62EAB166" w14:textId="77777777" w:rsidR="00972D89" w:rsidRDefault="0042196D" w:rsidP="0042196D">
            <w:pPr>
              <w:rPr>
                <w:rFonts w:cs="Arial"/>
              </w:rPr>
            </w:pPr>
            <w:r w:rsidRPr="0042196D">
              <w:rPr>
                <w:rFonts w:cs="Arial"/>
              </w:rPr>
              <w:t>přípustných typů veřejné podpory (tzv. kategorií „blokově vyňaté“ veřejné podpory), při jejichž</w:t>
            </w:r>
            <w:r>
              <w:rPr>
                <w:rFonts w:cs="Arial"/>
              </w:rPr>
              <w:t xml:space="preserve"> </w:t>
            </w:r>
            <w:r w:rsidRPr="0042196D">
              <w:rPr>
                <w:rFonts w:cs="Arial"/>
              </w:rPr>
              <w:t>dodržení je daná veřejná podpora považována za slučitelnou s vnitřním trhem EU. Blokové výjimky a</w:t>
            </w:r>
            <w:r>
              <w:rPr>
                <w:rFonts w:cs="Arial"/>
              </w:rPr>
              <w:t xml:space="preserve"> </w:t>
            </w:r>
            <w:r w:rsidRPr="0042196D">
              <w:rPr>
                <w:rFonts w:cs="Arial"/>
              </w:rPr>
              <w:t>jejich aplikace jsou upraveny v nařízení Komise (EU) č. 651/2014 (tzv. obecné nařízení o blokových</w:t>
            </w:r>
            <w:r>
              <w:rPr>
                <w:rFonts w:cs="Arial"/>
              </w:rPr>
              <w:t xml:space="preserve"> </w:t>
            </w:r>
            <w:r w:rsidRPr="0042196D">
              <w:rPr>
                <w:rFonts w:cs="Arial"/>
              </w:rPr>
              <w:t>výjimkách, dále jen „GBER).</w:t>
            </w:r>
            <w:r w:rsidR="00972D89" w:rsidRPr="006A451D">
              <w:rPr>
                <w:rFonts w:cs="Arial"/>
              </w:rPr>
              <w:t xml:space="preserve"> </w:t>
            </w:r>
          </w:p>
          <w:p w14:paraId="206DE9F8" w14:textId="77777777" w:rsidR="000E3D27" w:rsidRDefault="000E3D27" w:rsidP="0042196D">
            <w:pPr>
              <w:rPr>
                <w:rFonts w:cs="Arial"/>
              </w:rPr>
            </w:pPr>
          </w:p>
          <w:p w14:paraId="023E181E" w14:textId="77777777" w:rsidR="000E3D27" w:rsidRPr="000E3D27" w:rsidRDefault="000E3D27" w:rsidP="000E3D27">
            <w:pPr>
              <w:numPr>
                <w:ilvl w:val="0"/>
                <w:numId w:val="34"/>
              </w:numPr>
              <w:rPr>
                <w:rFonts w:cs="Arial"/>
                <w:b/>
                <w:bCs/>
              </w:rPr>
            </w:pPr>
            <w:r w:rsidRPr="000E3D27">
              <w:rPr>
                <w:rFonts w:cs="Arial"/>
                <w:b/>
                <w:bCs/>
              </w:rPr>
              <w:t>Přímá podpora podle čl. 20 GBER: Podpora na náklady vzniklé podnikům účastnícím se projektu Evropské územní spolupráce</w:t>
            </w:r>
          </w:p>
          <w:p w14:paraId="04421004" w14:textId="77777777" w:rsidR="000E3D27" w:rsidRDefault="000E3D27" w:rsidP="000E3D27">
            <w:pPr>
              <w:rPr>
                <w:rFonts w:cs="Arial"/>
              </w:rPr>
            </w:pPr>
            <w:r w:rsidRPr="000E3D27">
              <w:rPr>
                <w:rFonts w:cs="Arial"/>
              </w:rPr>
              <w:t>Tato bloková výjimka byla navržena přímo pro účast na projektech v programech Interreg. Je</w:t>
            </w:r>
            <w:r>
              <w:rPr>
                <w:rFonts w:cs="Arial"/>
              </w:rPr>
              <w:t xml:space="preserve"> </w:t>
            </w:r>
            <w:r w:rsidRPr="000E3D27">
              <w:rPr>
                <w:rFonts w:cs="Arial"/>
              </w:rPr>
              <w:t>aplikovatelná na všechny priority programu. Na rozdíl od některých jiných blokových výjimek u</w:t>
            </w:r>
            <w:r>
              <w:rPr>
                <w:rFonts w:cs="Arial"/>
              </w:rPr>
              <w:t xml:space="preserve"> </w:t>
            </w:r>
            <w:r w:rsidRPr="000E3D27">
              <w:rPr>
                <w:rFonts w:cs="Arial"/>
              </w:rPr>
              <w:t>této nedochází k omezení způsobilosti nákladů jen na některé typy a jsou tedy způsobilé</w:t>
            </w:r>
            <w:r>
              <w:rPr>
                <w:rFonts w:cs="Arial"/>
              </w:rPr>
              <w:t xml:space="preserve"> </w:t>
            </w:r>
            <w:r w:rsidRPr="000E3D27">
              <w:rPr>
                <w:rFonts w:cs="Arial"/>
              </w:rPr>
              <w:t>všechny náklady, které jsou v souladu s pravidly způsobilosti programu.</w:t>
            </w:r>
          </w:p>
          <w:p w14:paraId="5E778BD3" w14:textId="77777777" w:rsidR="000E3D27" w:rsidRPr="000E3D27" w:rsidRDefault="000E3D27" w:rsidP="000E3D27">
            <w:pPr>
              <w:rPr>
                <w:rFonts w:cs="Arial"/>
              </w:rPr>
            </w:pPr>
            <w:r w:rsidRPr="000E3D27">
              <w:rPr>
                <w:rFonts w:cs="Arial"/>
              </w:rPr>
              <w:t>Maximální výše spolufinancování odpovídá výši uplatňované na úrovni programu pro</w:t>
            </w:r>
          </w:p>
          <w:p w14:paraId="2B3C0A3A" w14:textId="77777777" w:rsidR="000E3D27" w:rsidRPr="000E3D27" w:rsidRDefault="000E3D27" w:rsidP="000E3D27">
            <w:pPr>
              <w:rPr>
                <w:rFonts w:cs="Arial"/>
              </w:rPr>
            </w:pPr>
            <w:r w:rsidRPr="000E3D27">
              <w:rPr>
                <w:rFonts w:cs="Arial"/>
              </w:rPr>
              <w:t>spolufinancování z EFRR. V případě spolufinancování projektu ve výši 80 % z prostředků</w:t>
            </w:r>
          </w:p>
          <w:p w14:paraId="39610E1D" w14:textId="77777777" w:rsidR="000E3D27" w:rsidRPr="000E3D27" w:rsidRDefault="000E3D27" w:rsidP="000E3D27">
            <w:pPr>
              <w:rPr>
                <w:rFonts w:cs="Arial"/>
              </w:rPr>
            </w:pPr>
            <w:r w:rsidRPr="000E3D27">
              <w:rPr>
                <w:rFonts w:cs="Arial"/>
              </w:rPr>
              <w:t>EFRR není tedy již možné poskytnout projektu další podporu z veřejných zdrojů (tj. např.</w:t>
            </w:r>
          </w:p>
          <w:p w14:paraId="04AF60D1" w14:textId="77777777" w:rsidR="000E3D27" w:rsidRDefault="000E3D27" w:rsidP="000E3D27">
            <w:pPr>
              <w:rPr>
                <w:rFonts w:cs="Arial"/>
              </w:rPr>
            </w:pPr>
            <w:r w:rsidRPr="000E3D27">
              <w:rPr>
                <w:rFonts w:cs="Arial"/>
              </w:rPr>
              <w:t>příspěvek ze SR nebo od jiných veřejnoprávních subjektů).</w:t>
            </w:r>
          </w:p>
          <w:p w14:paraId="4561EE80" w14:textId="77777777" w:rsidR="000E3D27" w:rsidRDefault="000E3D27" w:rsidP="000E3D27">
            <w:pPr>
              <w:rPr>
                <w:rFonts w:cs="Arial"/>
              </w:rPr>
            </w:pPr>
            <w:r w:rsidRPr="000E3D27">
              <w:rPr>
                <w:rFonts w:cs="Arial"/>
              </w:rPr>
              <w:t>Partnerům doporučujeme z výše uvedených důvodů v případě, že je v projektu identifikována</w:t>
            </w:r>
            <w:r>
              <w:rPr>
                <w:rFonts w:cs="Arial"/>
              </w:rPr>
              <w:t xml:space="preserve"> </w:t>
            </w:r>
            <w:r w:rsidRPr="000E3D27">
              <w:rPr>
                <w:rFonts w:cs="Arial"/>
              </w:rPr>
              <w:t>veřejná podpora zvažovat na prvním místě tuto blokovou výjimku.</w:t>
            </w:r>
          </w:p>
          <w:p w14:paraId="141E199D" w14:textId="77777777" w:rsidR="000E3D27" w:rsidRPr="000E3D27" w:rsidRDefault="000E3D27" w:rsidP="000E3D27">
            <w:pPr>
              <w:numPr>
                <w:ilvl w:val="0"/>
                <w:numId w:val="35"/>
              </w:numPr>
              <w:rPr>
                <w:rFonts w:cs="Arial"/>
              </w:rPr>
            </w:pPr>
            <w:r w:rsidRPr="000E3D27">
              <w:rPr>
                <w:rFonts w:cs="Arial"/>
              </w:rPr>
              <w:t>max. intenzita podpory je 80%</w:t>
            </w:r>
          </w:p>
          <w:p w14:paraId="3007D176" w14:textId="77777777" w:rsidR="000E3D27" w:rsidRDefault="000E3D27" w:rsidP="000E3D27">
            <w:pPr>
              <w:numPr>
                <w:ilvl w:val="0"/>
                <w:numId w:val="35"/>
              </w:numPr>
              <w:rPr>
                <w:rFonts w:cs="Arial"/>
              </w:rPr>
            </w:pPr>
            <w:r w:rsidRPr="000E3D27">
              <w:rPr>
                <w:rFonts w:cs="Arial"/>
              </w:rPr>
              <w:t>max. výše podpory je 2 000 000 EUR na podnik</w:t>
            </w:r>
          </w:p>
          <w:p w14:paraId="6319C963" w14:textId="77777777" w:rsidR="0066775D" w:rsidRDefault="0066775D" w:rsidP="0066775D">
            <w:pPr>
              <w:rPr>
                <w:rFonts w:cs="Arial"/>
              </w:rPr>
            </w:pPr>
          </w:p>
          <w:p w14:paraId="6389C9F5" w14:textId="77777777" w:rsidR="0066775D" w:rsidRDefault="0066775D" w:rsidP="0066775D">
            <w:pPr>
              <w:rPr>
                <w:rFonts w:cs="Arial"/>
              </w:rPr>
            </w:pPr>
          </w:p>
          <w:p w14:paraId="32DCA635" w14:textId="77777777" w:rsidR="0066775D" w:rsidRDefault="0066775D" w:rsidP="0066775D">
            <w:pPr>
              <w:rPr>
                <w:rFonts w:cs="Arial"/>
              </w:rPr>
            </w:pPr>
          </w:p>
          <w:p w14:paraId="6D91A7DE" w14:textId="1FA00443" w:rsidR="0066775D" w:rsidRPr="000E3D27" w:rsidRDefault="0066775D" w:rsidP="0066775D">
            <w:pPr>
              <w:rPr>
                <w:rFonts w:cs="Arial"/>
              </w:rPr>
            </w:pPr>
          </w:p>
        </w:tc>
        <w:tc>
          <w:tcPr>
            <w:tcW w:w="7509" w:type="dxa"/>
          </w:tcPr>
          <w:p w14:paraId="442081F3" w14:textId="77777777" w:rsidR="0042196D" w:rsidRPr="0042196D" w:rsidRDefault="0042196D" w:rsidP="0042196D">
            <w:pPr>
              <w:spacing w:after="0"/>
              <w:rPr>
                <w:rFonts w:eastAsia="Calibri" w:cs="Arial"/>
                <w:bdr w:val="nil"/>
                <w:lang w:val="pl-PL" w:bidi="pl-PL"/>
              </w:rPr>
            </w:pPr>
            <w:r w:rsidRPr="0042196D">
              <w:rPr>
                <w:rFonts w:eastAsia="Calibri" w:cs="Arial"/>
                <w:bdr w:val="nil"/>
                <w:lang w:val="pl-PL" w:bidi="pl-PL"/>
              </w:rPr>
              <w:lastRenderedPageBreak/>
              <w:t>Wyłączenia blokowe to zbiór przepisów prawnych mających zastosowanie do określonego zakresu</w:t>
            </w:r>
          </w:p>
          <w:p w14:paraId="2E2617D4" w14:textId="77777777" w:rsidR="0042196D" w:rsidRPr="0042196D" w:rsidRDefault="0042196D" w:rsidP="0042196D">
            <w:pPr>
              <w:spacing w:after="0"/>
              <w:rPr>
                <w:rFonts w:eastAsia="Calibri" w:cs="Arial"/>
                <w:bdr w:val="nil"/>
                <w:lang w:val="pl-PL" w:bidi="pl-PL"/>
              </w:rPr>
            </w:pPr>
            <w:r w:rsidRPr="0042196D">
              <w:rPr>
                <w:rFonts w:eastAsia="Calibri" w:cs="Arial"/>
                <w:bdr w:val="nil"/>
                <w:lang w:val="pl-PL" w:bidi="pl-PL"/>
              </w:rPr>
              <w:t>dopuszczalnych rodzajów pomocy publicznej (tzw. kategorii pomocy objętych tzw. wyłączeniami</w:t>
            </w:r>
          </w:p>
          <w:p w14:paraId="066CDD9C" w14:textId="77777777" w:rsidR="0042196D" w:rsidRPr="0042196D" w:rsidRDefault="0042196D" w:rsidP="0042196D">
            <w:pPr>
              <w:spacing w:after="0"/>
              <w:rPr>
                <w:rFonts w:eastAsia="Calibri" w:cs="Arial"/>
                <w:bdr w:val="nil"/>
                <w:lang w:val="pl-PL" w:bidi="pl-PL"/>
              </w:rPr>
            </w:pPr>
            <w:r w:rsidRPr="0042196D">
              <w:rPr>
                <w:rFonts w:eastAsia="Calibri" w:cs="Arial"/>
                <w:bdr w:val="nil"/>
                <w:lang w:val="pl-PL" w:bidi="pl-PL"/>
              </w:rPr>
              <w:t>blokowymi), zgodnie z którymi dana pomoc publiczna jest uznawana za zgodną z rynkiem</w:t>
            </w:r>
          </w:p>
          <w:p w14:paraId="197E68FD" w14:textId="77777777" w:rsidR="0042196D" w:rsidRPr="0042196D" w:rsidRDefault="0042196D" w:rsidP="0042196D">
            <w:pPr>
              <w:spacing w:after="0"/>
              <w:rPr>
                <w:rFonts w:eastAsia="Calibri" w:cs="Arial"/>
                <w:bdr w:val="nil"/>
                <w:lang w:val="pl-PL" w:bidi="pl-PL"/>
              </w:rPr>
            </w:pPr>
            <w:r w:rsidRPr="0042196D">
              <w:rPr>
                <w:rFonts w:eastAsia="Calibri" w:cs="Arial"/>
                <w:bdr w:val="nil"/>
                <w:lang w:val="pl-PL" w:bidi="pl-PL"/>
              </w:rPr>
              <w:t>wewnętrznym UE. Wyłączenia blokowe i ich stosowanie reguluje rozporządzenie Komisji (UE) nr</w:t>
            </w:r>
          </w:p>
          <w:p w14:paraId="4D119D98" w14:textId="77777777" w:rsidR="00972D89" w:rsidRDefault="0042196D" w:rsidP="0042196D">
            <w:pPr>
              <w:spacing w:after="0"/>
              <w:rPr>
                <w:rFonts w:eastAsia="Calibri" w:cs="Arial"/>
                <w:bdr w:val="nil"/>
                <w:lang w:val="pl-PL" w:bidi="pl-PL"/>
              </w:rPr>
            </w:pPr>
            <w:r w:rsidRPr="0042196D">
              <w:rPr>
                <w:rFonts w:eastAsia="Calibri" w:cs="Arial"/>
                <w:bdr w:val="nil"/>
                <w:lang w:val="pl-PL" w:bidi="pl-PL"/>
              </w:rPr>
              <w:t>651/2014 (tzw. ogólne rozporządzenie w sprawie wyłączeń blokowych , dalej "GBER").</w:t>
            </w:r>
          </w:p>
          <w:p w14:paraId="6756369C" w14:textId="77777777" w:rsidR="000E3D27" w:rsidRDefault="000E3D27" w:rsidP="0042196D">
            <w:pPr>
              <w:spacing w:after="0"/>
              <w:rPr>
                <w:rFonts w:eastAsia="Calibri" w:cs="Arial"/>
                <w:bdr w:val="nil"/>
                <w:lang w:val="pl-PL" w:bidi="pl-PL"/>
              </w:rPr>
            </w:pPr>
          </w:p>
          <w:p w14:paraId="1449FED4" w14:textId="77777777" w:rsidR="000E3D27" w:rsidRPr="000E3D27" w:rsidRDefault="000E3D27" w:rsidP="000E3D27">
            <w:pPr>
              <w:numPr>
                <w:ilvl w:val="0"/>
                <w:numId w:val="36"/>
              </w:numPr>
              <w:spacing w:after="0"/>
              <w:rPr>
                <w:rFonts w:eastAsia="Calibri" w:cs="Arial"/>
                <w:b/>
                <w:bCs/>
                <w:bdr w:val="nil"/>
                <w:lang w:val="pl-PL" w:bidi="pl-PL"/>
              </w:rPr>
            </w:pPr>
            <w:r w:rsidRPr="000E3D27">
              <w:rPr>
                <w:rFonts w:eastAsia="Calibri" w:cs="Arial"/>
                <w:b/>
                <w:bCs/>
                <w:bdr w:val="nil"/>
                <w:lang w:val="pl-PL" w:bidi="pl-PL"/>
              </w:rPr>
              <w:t>Pomoc bezpośrednia wg art. 20 GBER: Dofinansowanie na wydatki poniesione przez przedsiębiorstwa uczestniczące w projektach Europejskiej Współpracy Terytorialnej</w:t>
            </w:r>
          </w:p>
          <w:p w14:paraId="4256B4DE" w14:textId="77777777" w:rsidR="000E3D27" w:rsidRPr="000E3D27" w:rsidRDefault="000E3D27" w:rsidP="000E3D27">
            <w:pPr>
              <w:spacing w:after="0"/>
              <w:rPr>
                <w:rFonts w:eastAsia="Calibri" w:cs="Arial"/>
                <w:bdr w:val="nil"/>
                <w:lang w:val="pl-PL" w:bidi="pl-PL"/>
              </w:rPr>
            </w:pPr>
            <w:r w:rsidRPr="000E3D27">
              <w:rPr>
                <w:rFonts w:eastAsia="Calibri" w:cs="Arial"/>
                <w:bdr w:val="nil"/>
                <w:lang w:val="pl-PL" w:bidi="pl-PL"/>
              </w:rPr>
              <w:t>To wyłączenie blokowe zostało zaprojektowane specjalnie dla udziału w projektach w ramach</w:t>
            </w:r>
          </w:p>
          <w:p w14:paraId="13658BBF" w14:textId="77777777" w:rsidR="000E3D27" w:rsidRPr="000E3D27" w:rsidRDefault="000E3D27" w:rsidP="000E3D27">
            <w:pPr>
              <w:spacing w:after="0"/>
              <w:rPr>
                <w:rFonts w:eastAsia="Calibri" w:cs="Arial"/>
                <w:bdr w:val="nil"/>
                <w:lang w:val="pl-PL" w:bidi="pl-PL"/>
              </w:rPr>
            </w:pPr>
            <w:r w:rsidRPr="000E3D27">
              <w:rPr>
                <w:rFonts w:eastAsia="Calibri" w:cs="Arial"/>
                <w:bdr w:val="nil"/>
                <w:lang w:val="pl-PL" w:bidi="pl-PL"/>
              </w:rPr>
              <w:t>programów Interreg. Ma ono zastosowanie do wszystkich priorytetów programu. W</w:t>
            </w:r>
          </w:p>
          <w:p w14:paraId="39AEC726" w14:textId="77777777" w:rsidR="000E3D27" w:rsidRPr="000E3D27" w:rsidRDefault="000E3D27" w:rsidP="000E3D27">
            <w:pPr>
              <w:spacing w:after="0"/>
              <w:rPr>
                <w:rFonts w:eastAsia="Calibri" w:cs="Arial"/>
                <w:bdr w:val="nil"/>
                <w:lang w:val="pl-PL" w:bidi="pl-PL"/>
              </w:rPr>
            </w:pPr>
            <w:r w:rsidRPr="000E3D27">
              <w:rPr>
                <w:rFonts w:eastAsia="Calibri" w:cs="Arial"/>
                <w:bdr w:val="nil"/>
                <w:lang w:val="pl-PL" w:bidi="pl-PL"/>
              </w:rPr>
              <w:t>przeciwieństwie do niektórych innych wyłączeń blokowych, nie ogranicza ono kwalifikowalności</w:t>
            </w:r>
          </w:p>
          <w:p w14:paraId="011ACF74" w14:textId="77777777" w:rsidR="000E3D27" w:rsidRPr="000E3D27" w:rsidRDefault="000E3D27" w:rsidP="000E3D27">
            <w:pPr>
              <w:spacing w:after="0"/>
              <w:rPr>
                <w:rFonts w:eastAsia="Calibri" w:cs="Arial"/>
                <w:bdr w:val="nil"/>
                <w:lang w:val="pl-PL" w:bidi="pl-PL"/>
              </w:rPr>
            </w:pPr>
            <w:r w:rsidRPr="000E3D27">
              <w:rPr>
                <w:rFonts w:eastAsia="Calibri" w:cs="Arial"/>
                <w:bdr w:val="nil"/>
                <w:lang w:val="pl-PL" w:bidi="pl-PL"/>
              </w:rPr>
              <w:t>kosztów tylko do niektórych rodzajów, a zatem wszystkie koszty, które są zgodne z zasadami</w:t>
            </w:r>
          </w:p>
          <w:p w14:paraId="3CC54CF9" w14:textId="77777777" w:rsidR="000E3D27" w:rsidRDefault="000E3D27" w:rsidP="000E3D27">
            <w:pPr>
              <w:spacing w:after="0"/>
              <w:rPr>
                <w:rFonts w:eastAsia="Calibri" w:cs="Arial"/>
                <w:bdr w:val="nil"/>
                <w:lang w:val="pl-PL" w:bidi="pl-PL"/>
              </w:rPr>
            </w:pPr>
            <w:r w:rsidRPr="000E3D27">
              <w:rPr>
                <w:rFonts w:eastAsia="Calibri" w:cs="Arial"/>
                <w:bdr w:val="nil"/>
                <w:lang w:val="pl-PL" w:bidi="pl-PL"/>
              </w:rPr>
              <w:t>kwalifikowalności programu, są kwalifikowalne.</w:t>
            </w:r>
          </w:p>
          <w:p w14:paraId="038D7A02" w14:textId="77777777" w:rsidR="000E3D27" w:rsidRPr="000E3D27" w:rsidRDefault="000E3D27" w:rsidP="000E3D27">
            <w:pPr>
              <w:spacing w:after="0"/>
              <w:rPr>
                <w:rFonts w:eastAsia="Calibri" w:cs="Arial"/>
                <w:bdr w:val="nil"/>
                <w:lang w:val="pl-PL" w:bidi="pl-PL"/>
              </w:rPr>
            </w:pPr>
            <w:r w:rsidRPr="000E3D27">
              <w:rPr>
                <w:rFonts w:eastAsia="Calibri" w:cs="Arial"/>
                <w:bdr w:val="nil"/>
                <w:lang w:val="pl-PL" w:bidi="pl-PL"/>
              </w:rPr>
              <w:t>Maksymalna wysokość współfinansowania odpowiada wysokości stosowanej na poziomie</w:t>
            </w:r>
          </w:p>
          <w:p w14:paraId="658E4E14" w14:textId="77777777" w:rsidR="000E3D27" w:rsidRPr="000E3D27" w:rsidRDefault="000E3D27" w:rsidP="000E3D27">
            <w:pPr>
              <w:spacing w:after="0"/>
              <w:rPr>
                <w:rFonts w:eastAsia="Calibri" w:cs="Arial"/>
                <w:bdr w:val="nil"/>
                <w:lang w:val="pl-PL" w:bidi="pl-PL"/>
              </w:rPr>
            </w:pPr>
            <w:r w:rsidRPr="000E3D27">
              <w:rPr>
                <w:rFonts w:eastAsia="Calibri" w:cs="Arial"/>
                <w:bdr w:val="nil"/>
                <w:lang w:val="pl-PL" w:bidi="pl-PL"/>
              </w:rPr>
              <w:t>programu dla współfinansowania z EFRR. W przypadku współfinansowania projektu w</w:t>
            </w:r>
          </w:p>
          <w:p w14:paraId="1F564DAD" w14:textId="77777777" w:rsidR="000E3D27" w:rsidRPr="000E3D27" w:rsidRDefault="000E3D27" w:rsidP="000E3D27">
            <w:pPr>
              <w:spacing w:after="0"/>
              <w:rPr>
                <w:rFonts w:eastAsia="Calibri" w:cs="Arial"/>
                <w:bdr w:val="nil"/>
                <w:lang w:val="pl-PL" w:bidi="pl-PL"/>
              </w:rPr>
            </w:pPr>
            <w:r w:rsidRPr="000E3D27">
              <w:rPr>
                <w:rFonts w:eastAsia="Calibri" w:cs="Arial"/>
                <w:bdr w:val="nil"/>
                <w:lang w:val="pl-PL" w:bidi="pl-PL"/>
              </w:rPr>
              <w:t>wysokości 80% z EFRR, nie można więc już udzielić projektowi dodatkowego dofinansowania</w:t>
            </w:r>
          </w:p>
          <w:p w14:paraId="4CEEBBB7" w14:textId="77777777" w:rsidR="000E3D27" w:rsidRPr="000E3D27" w:rsidRDefault="000E3D27" w:rsidP="000E3D27">
            <w:pPr>
              <w:spacing w:after="0"/>
              <w:rPr>
                <w:rFonts w:eastAsia="Calibri" w:cs="Arial"/>
                <w:bdr w:val="nil"/>
                <w:lang w:val="pl-PL" w:bidi="pl-PL"/>
              </w:rPr>
            </w:pPr>
            <w:r w:rsidRPr="000E3D27">
              <w:rPr>
                <w:rFonts w:eastAsia="Calibri" w:cs="Arial"/>
                <w:bdr w:val="nil"/>
                <w:lang w:val="pl-PL" w:bidi="pl-PL"/>
              </w:rPr>
              <w:t>ze źródeł publicznych (np. dofinansowania z budżetu państwa lub innych podmiotów</w:t>
            </w:r>
          </w:p>
          <w:p w14:paraId="541D47B9" w14:textId="77777777" w:rsidR="000E3D27" w:rsidRDefault="000E3D27" w:rsidP="000E3D27">
            <w:pPr>
              <w:spacing w:after="0"/>
            </w:pPr>
            <w:r w:rsidRPr="000E3D27">
              <w:rPr>
                <w:rFonts w:eastAsia="Calibri" w:cs="Arial"/>
                <w:bdr w:val="nil"/>
                <w:lang w:val="pl-PL" w:bidi="pl-PL"/>
              </w:rPr>
              <w:t>publicznych).</w:t>
            </w:r>
            <w:r>
              <w:t xml:space="preserve"> </w:t>
            </w:r>
          </w:p>
          <w:p w14:paraId="4BBFEFC4" w14:textId="537F423F" w:rsidR="000E3D27" w:rsidRPr="000E3D27" w:rsidRDefault="000E3D27" w:rsidP="000E3D27">
            <w:pPr>
              <w:spacing w:after="0"/>
              <w:rPr>
                <w:rFonts w:eastAsia="Calibri" w:cs="Arial"/>
                <w:bdr w:val="nil"/>
                <w:lang w:val="pl-PL" w:bidi="pl-PL"/>
              </w:rPr>
            </w:pPr>
            <w:r w:rsidRPr="000E3D27">
              <w:rPr>
                <w:rFonts w:eastAsia="Calibri" w:cs="Arial"/>
                <w:bdr w:val="nil"/>
                <w:lang w:val="pl-PL" w:bidi="pl-PL"/>
              </w:rPr>
              <w:t>Jeżeli w projekcie zidentyfikowano pomoc publiczną, partnerom ze względu na powyższe</w:t>
            </w:r>
          </w:p>
          <w:p w14:paraId="479E34C3" w14:textId="77777777" w:rsidR="000E3D27" w:rsidRDefault="000E3D27" w:rsidP="000E3D27">
            <w:pPr>
              <w:spacing w:after="0"/>
              <w:rPr>
                <w:rFonts w:eastAsia="Calibri" w:cs="Arial"/>
                <w:bdr w:val="nil"/>
                <w:lang w:val="pl-PL" w:bidi="pl-PL"/>
              </w:rPr>
            </w:pPr>
            <w:r w:rsidRPr="000E3D27">
              <w:rPr>
                <w:rFonts w:eastAsia="Calibri" w:cs="Arial"/>
                <w:bdr w:val="nil"/>
                <w:lang w:val="pl-PL" w:bidi="pl-PL"/>
              </w:rPr>
              <w:t>zaleca się rozważenie w pierwszej kolejności tego wyłączenia blokowego.</w:t>
            </w:r>
          </w:p>
          <w:p w14:paraId="3443F538" w14:textId="77777777" w:rsidR="000E3D27" w:rsidRPr="000E3D27" w:rsidRDefault="000E3D27" w:rsidP="000E3D27">
            <w:pPr>
              <w:numPr>
                <w:ilvl w:val="0"/>
                <w:numId w:val="37"/>
              </w:numPr>
              <w:spacing w:after="0"/>
              <w:rPr>
                <w:rFonts w:eastAsia="Calibri" w:cs="Arial"/>
                <w:bdr w:val="nil"/>
                <w:lang w:val="pl-PL" w:bidi="pl-PL"/>
              </w:rPr>
            </w:pPr>
            <w:r w:rsidRPr="000E3D27">
              <w:rPr>
                <w:rFonts w:eastAsia="Calibri" w:cs="Arial"/>
                <w:bdr w:val="nil"/>
                <w:lang w:val="pl-PL" w:bidi="pl-PL"/>
              </w:rPr>
              <w:t>maksymalny poziom pomocy wynosi 80%</w:t>
            </w:r>
          </w:p>
          <w:p w14:paraId="27F19776" w14:textId="77777777" w:rsidR="000E3D27" w:rsidRDefault="000E3D27" w:rsidP="000E3D27">
            <w:pPr>
              <w:numPr>
                <w:ilvl w:val="0"/>
                <w:numId w:val="37"/>
              </w:numPr>
              <w:spacing w:after="0"/>
              <w:rPr>
                <w:rFonts w:eastAsia="Calibri" w:cs="Arial"/>
                <w:bdr w:val="nil"/>
                <w:lang w:val="pl-PL" w:bidi="pl-PL"/>
              </w:rPr>
            </w:pPr>
            <w:r w:rsidRPr="000E3D27">
              <w:rPr>
                <w:rFonts w:eastAsia="Calibri" w:cs="Arial"/>
                <w:bdr w:val="nil"/>
                <w:lang w:val="pl-PL" w:bidi="pl-PL"/>
              </w:rPr>
              <w:lastRenderedPageBreak/>
              <w:t>maksymalna kwota pomocy wynosi 2 000 000 EUR na przedsiębiorstwo</w:t>
            </w:r>
          </w:p>
          <w:p w14:paraId="5FB0E764" w14:textId="77777777" w:rsidR="00BE4A1A" w:rsidRDefault="00BE4A1A" w:rsidP="00BE4A1A">
            <w:pPr>
              <w:spacing w:after="0"/>
              <w:rPr>
                <w:rFonts w:eastAsia="Calibri" w:cs="Arial"/>
                <w:bdr w:val="nil"/>
                <w:lang w:val="pl-PL" w:bidi="pl-PL"/>
              </w:rPr>
            </w:pPr>
          </w:p>
          <w:p w14:paraId="2C27D780" w14:textId="77777777" w:rsidR="00BE4A1A" w:rsidRDefault="00BE4A1A" w:rsidP="00BE4A1A">
            <w:pPr>
              <w:spacing w:after="0"/>
              <w:rPr>
                <w:rFonts w:eastAsia="Calibri" w:cs="Arial"/>
                <w:bdr w:val="nil"/>
                <w:lang w:val="pl-PL" w:bidi="pl-PL"/>
              </w:rPr>
            </w:pPr>
          </w:p>
          <w:p w14:paraId="07E1D4CE" w14:textId="2805A3E8" w:rsidR="00BE4A1A" w:rsidRPr="006A451D" w:rsidRDefault="00BE4A1A" w:rsidP="00BE4A1A">
            <w:pPr>
              <w:spacing w:after="0"/>
              <w:rPr>
                <w:rFonts w:eastAsia="Calibri" w:cs="Arial"/>
                <w:bdr w:val="nil"/>
                <w:lang w:val="pl-PL" w:bidi="pl-PL"/>
              </w:rPr>
            </w:pPr>
          </w:p>
        </w:tc>
      </w:tr>
      <w:tr w:rsidR="00BE4A1A" w:rsidRPr="0013431E" w14:paraId="1A33DFF3" w14:textId="77777777" w:rsidTr="0066775D">
        <w:trPr>
          <w:trHeight w:val="1413"/>
        </w:trPr>
        <w:tc>
          <w:tcPr>
            <w:tcW w:w="6711" w:type="dxa"/>
          </w:tcPr>
          <w:p w14:paraId="4DB5207B" w14:textId="77777777" w:rsidR="00BE4A1A" w:rsidRPr="00497CE0" w:rsidRDefault="00BE4A1A" w:rsidP="00BE4A1A">
            <w:pPr>
              <w:pStyle w:val="Nagwek4"/>
              <w:numPr>
                <w:ilvl w:val="0"/>
                <w:numId w:val="36"/>
              </w:numPr>
              <w:rPr>
                <w:rFonts w:cs="Arial"/>
                <w:sz w:val="16"/>
              </w:rPr>
            </w:pPr>
            <w:r w:rsidRPr="00497CE0">
              <w:rPr>
                <w:rFonts w:cs="Arial"/>
                <w:sz w:val="16"/>
              </w:rPr>
              <w:lastRenderedPageBreak/>
              <w:t>Nepřímá podpora třetích subjektů podle čl. 20a GBER: Omezené částky podpory</w:t>
            </w:r>
            <w:r>
              <w:rPr>
                <w:rFonts w:cs="Arial"/>
                <w:sz w:val="16"/>
              </w:rPr>
              <w:t xml:space="preserve"> </w:t>
            </w:r>
            <w:r w:rsidRPr="00497CE0">
              <w:rPr>
                <w:rFonts w:cs="Arial"/>
                <w:sz w:val="16"/>
              </w:rPr>
              <w:t>poskytované podnikům na účast v projektech Evropské územní spolupráce</w:t>
            </w:r>
          </w:p>
          <w:p w14:paraId="38ABE53A" w14:textId="77777777" w:rsidR="00BE4A1A" w:rsidRDefault="00BE4A1A" w:rsidP="00BE4A1A">
            <w:pPr>
              <w:pStyle w:val="Nagwek4"/>
              <w:rPr>
                <w:rFonts w:cs="Arial"/>
                <w:b w:val="0"/>
                <w:bCs w:val="0"/>
                <w:sz w:val="16"/>
              </w:rPr>
            </w:pPr>
            <w:r w:rsidRPr="00497CE0">
              <w:rPr>
                <w:rFonts w:cs="Arial"/>
                <w:b w:val="0"/>
                <w:bCs w:val="0"/>
                <w:sz w:val="16"/>
              </w:rPr>
              <w:t>Tato bloková výjimka byla také navržena přímo pro programy Interreg.</w:t>
            </w:r>
          </w:p>
          <w:p w14:paraId="3585B40B" w14:textId="77777777" w:rsidR="00BE4A1A" w:rsidRDefault="00BE4A1A" w:rsidP="00BE4A1A">
            <w:r>
              <w:t>Aktivity projektu mohou nepřímo přinášet výhody třetím stranám, které nejsou přímo zapojeny do projektu přímo jako partneři, ale které díky aktivitám projektu získávají výhody, jež by za normálních tržních podmínek nezískaly. Může se jednat např. o cílové skupiny některých typů projektů nebo o konečné příjemce v rámci Fondu malých projektů. Konkrétním příkladem mohou být např. vouchery na služby, školení nebo poradenství pro firmy, které jsou v rámci projektu poskytovány bez platně nebo za zvýhodněnou cenu. Předpokladem pro poskytnutí podpory je vyčíslení výše výhody.</w:t>
            </w:r>
          </w:p>
          <w:p w14:paraId="6558D8E5" w14:textId="77777777" w:rsidR="00BE4A1A" w:rsidRDefault="00BE4A1A" w:rsidP="00BE4A1A">
            <w:r>
              <w:t>Jelikož se jedná o podporu poskytovanou partnerem v rámci projektu, je to partner, který nese zodpovědnost za všechny s tím spojené povinnosti, např. správné poskytování podpory (včetně prověření podmínek pro její poskytnutí), sběr a vydávání požadovaných dokumentů v souladu s národními předpisy.</w:t>
            </w:r>
          </w:p>
          <w:p w14:paraId="1C85AD4C" w14:textId="77777777" w:rsidR="00BE4A1A" w:rsidRDefault="00BE4A1A" w:rsidP="00BE4A1A">
            <w:r>
              <w:t>Celková výše podpory jednomu podniku v rámci jednoho projektu nesmí přesáhnout limit 20.000 EUR.</w:t>
            </w:r>
          </w:p>
          <w:p w14:paraId="4F5609DC" w14:textId="77777777" w:rsidR="00BE4A1A" w:rsidRDefault="00BE4A1A" w:rsidP="00BE4A1A">
            <w:r w:rsidRPr="00497CE0">
              <w:t>Přílohy, které se týkají čl. 20a GBER:</w:t>
            </w:r>
          </w:p>
          <w:p w14:paraId="32C5212D" w14:textId="77777777" w:rsidR="00BE4A1A" w:rsidRDefault="00BE4A1A" w:rsidP="00BE4A1A">
            <w:pPr>
              <w:numPr>
                <w:ilvl w:val="0"/>
                <w:numId w:val="39"/>
              </w:numPr>
            </w:pPr>
            <w:r>
              <w:t>Čestné prohlášení partnera v rámci blokové výjimky (vyplňuje zástupce cílové skupiny nebo konečný příjemce v rámci Fondu malých projektů, nikoli tedy příjemce, který zde vystupuje v roli poskytovatele podpory)</w:t>
            </w:r>
          </w:p>
          <w:p w14:paraId="1D3C84E6" w14:textId="77777777" w:rsidR="00BE4A1A" w:rsidRPr="0042196D" w:rsidRDefault="00BE4A1A" w:rsidP="0042196D">
            <w:pPr>
              <w:rPr>
                <w:rFonts w:cs="Arial"/>
              </w:rPr>
            </w:pPr>
          </w:p>
        </w:tc>
        <w:tc>
          <w:tcPr>
            <w:tcW w:w="7509" w:type="dxa"/>
          </w:tcPr>
          <w:p w14:paraId="0D2B6ADB" w14:textId="77777777" w:rsidR="00BE4A1A" w:rsidRDefault="00BE4A1A" w:rsidP="00BE4A1A">
            <w:pPr>
              <w:pStyle w:val="Nagwek4"/>
              <w:numPr>
                <w:ilvl w:val="0"/>
                <w:numId w:val="34"/>
              </w:numPr>
              <w:rPr>
                <w:rFonts w:eastAsia="Cambria"/>
                <w:sz w:val="16"/>
                <w:bdr w:val="nil"/>
                <w:lang w:val="pl-PL" w:bidi="pl-PL"/>
              </w:rPr>
            </w:pPr>
            <w:r w:rsidRPr="00497CE0">
              <w:rPr>
                <w:rFonts w:eastAsia="Cambria"/>
                <w:sz w:val="16"/>
                <w:bdr w:val="nil"/>
                <w:lang w:val="pl-PL" w:bidi="pl-PL"/>
              </w:rPr>
              <w:t>Pomoc pośrednia dla osób trzecich na wg art. 20a GBER: Ograniczone kwoty pomocy udzielanej przedsiębiorstwom na udział w projektach Europejskiej Współpracy Terytorialnej</w:t>
            </w:r>
          </w:p>
          <w:p w14:paraId="55AF10ED" w14:textId="77777777" w:rsidR="00BE4A1A" w:rsidRDefault="00BE4A1A" w:rsidP="00BE4A1A">
            <w:pPr>
              <w:rPr>
                <w:rFonts w:eastAsia="Cambria"/>
                <w:lang w:val="pl-PL" w:bidi="pl-PL"/>
              </w:rPr>
            </w:pPr>
          </w:p>
          <w:p w14:paraId="382924DF" w14:textId="77777777" w:rsidR="00BE4A1A" w:rsidRDefault="00BE4A1A" w:rsidP="00BE4A1A">
            <w:pPr>
              <w:rPr>
                <w:rFonts w:eastAsia="Cambria"/>
                <w:lang w:val="pl-PL" w:bidi="pl-PL"/>
              </w:rPr>
            </w:pPr>
            <w:r w:rsidRPr="00497CE0">
              <w:rPr>
                <w:rFonts w:eastAsia="Cambria"/>
                <w:lang w:val="pl-PL" w:bidi="pl-PL"/>
              </w:rPr>
              <w:t>Również to wyłączenie blokowe zaproponowano bezpośrednio dla programów Interreg.</w:t>
            </w:r>
          </w:p>
          <w:p w14:paraId="1D785183" w14:textId="77777777" w:rsidR="00BE4A1A" w:rsidRDefault="00BE4A1A" w:rsidP="00BE4A1A">
            <w:pPr>
              <w:rPr>
                <w:rFonts w:eastAsia="Cambria"/>
                <w:lang w:val="pl-PL" w:bidi="pl-PL"/>
              </w:rPr>
            </w:pPr>
            <w:r w:rsidRPr="00497CE0">
              <w:rPr>
                <w:rFonts w:eastAsia="Cambria"/>
                <w:lang w:val="pl-PL" w:bidi="pl-PL"/>
              </w:rPr>
              <w:t>Działania w ramach projektu mogą pośrednio przynosić korzyści osobom trzecim, które nie są</w:t>
            </w:r>
            <w:r>
              <w:rPr>
                <w:rFonts w:eastAsia="Cambria"/>
                <w:lang w:val="pl-PL" w:bidi="pl-PL"/>
              </w:rPr>
              <w:t xml:space="preserve"> </w:t>
            </w:r>
            <w:r w:rsidRPr="00497CE0">
              <w:rPr>
                <w:rFonts w:eastAsia="Cambria"/>
                <w:lang w:val="pl-PL" w:bidi="pl-PL"/>
              </w:rPr>
              <w:t>bezpośrednio zaangażowane w projekt jako partnerzy projektu, ale które dzięki działaniom</w:t>
            </w:r>
            <w:r>
              <w:rPr>
                <w:rFonts w:eastAsia="Cambria"/>
                <w:lang w:val="pl-PL" w:bidi="pl-PL"/>
              </w:rPr>
              <w:t xml:space="preserve"> </w:t>
            </w:r>
            <w:r w:rsidRPr="00497CE0">
              <w:rPr>
                <w:rFonts w:eastAsia="Cambria"/>
                <w:lang w:val="pl-PL" w:bidi="pl-PL"/>
              </w:rPr>
              <w:t>realizowanym w ramach projektu mają korzyści, których nie miałyby w normalnych warunkach</w:t>
            </w:r>
            <w:r>
              <w:rPr>
                <w:rFonts w:eastAsia="Cambria"/>
                <w:lang w:val="pl-PL" w:bidi="pl-PL"/>
              </w:rPr>
              <w:t xml:space="preserve"> </w:t>
            </w:r>
            <w:r w:rsidRPr="00497CE0">
              <w:rPr>
                <w:rFonts w:eastAsia="Cambria"/>
                <w:lang w:val="pl-PL" w:bidi="pl-PL"/>
              </w:rPr>
              <w:t>rynkowych. Mogą to być np. grupy docelowe niektórych rodzajów projektów lub beneficjenci końcowi</w:t>
            </w:r>
            <w:r>
              <w:rPr>
                <w:rFonts w:eastAsia="Cambria"/>
                <w:lang w:val="pl-PL" w:bidi="pl-PL"/>
              </w:rPr>
              <w:t xml:space="preserve"> </w:t>
            </w:r>
            <w:r w:rsidRPr="00497CE0">
              <w:rPr>
                <w:rFonts w:eastAsia="Cambria"/>
                <w:lang w:val="pl-PL" w:bidi="pl-PL"/>
              </w:rPr>
              <w:t>w ramach Funduszu Małych Projektów. Konkretnym przykładem mogą być np. vouchery na usługi,</w:t>
            </w:r>
            <w:r>
              <w:rPr>
                <w:rFonts w:eastAsia="Cambria"/>
                <w:lang w:val="pl-PL" w:bidi="pl-PL"/>
              </w:rPr>
              <w:t xml:space="preserve"> </w:t>
            </w:r>
            <w:r w:rsidRPr="00497CE0">
              <w:rPr>
                <w:rFonts w:eastAsia="Cambria"/>
                <w:lang w:val="pl-PL" w:bidi="pl-PL"/>
              </w:rPr>
              <w:t>szkolenia lub doradztwo dla firm, które są oferowane w ramach projektu bezpłatnie lub po obniżonej</w:t>
            </w:r>
            <w:r>
              <w:rPr>
                <w:rFonts w:eastAsia="Cambria"/>
                <w:lang w:val="pl-PL" w:bidi="pl-PL"/>
              </w:rPr>
              <w:t xml:space="preserve"> </w:t>
            </w:r>
            <w:r w:rsidRPr="00497CE0">
              <w:rPr>
                <w:rFonts w:eastAsia="Cambria"/>
                <w:lang w:val="pl-PL" w:bidi="pl-PL"/>
              </w:rPr>
              <w:t>cenie. Warunkiem udzielenia dofinansowania jest określenie wysokości takiej korzyści.</w:t>
            </w:r>
          </w:p>
          <w:p w14:paraId="2BDBC18B" w14:textId="77777777" w:rsidR="00BE4A1A" w:rsidRDefault="00BE4A1A" w:rsidP="00BE4A1A">
            <w:pPr>
              <w:rPr>
                <w:rFonts w:eastAsia="Cambria"/>
                <w:lang w:val="pl-PL" w:bidi="pl-PL"/>
              </w:rPr>
            </w:pPr>
            <w:r w:rsidRPr="00497CE0">
              <w:rPr>
                <w:rFonts w:eastAsia="Cambria"/>
                <w:lang w:val="pl-PL" w:bidi="pl-PL"/>
              </w:rPr>
              <w:t>Ponieważ jest to pomoc udzielana przez partnera w ramach projektu, to na partnerze spoczywa</w:t>
            </w:r>
            <w:r>
              <w:rPr>
                <w:rFonts w:eastAsia="Cambria"/>
                <w:lang w:val="pl-PL" w:bidi="pl-PL"/>
              </w:rPr>
              <w:t xml:space="preserve"> </w:t>
            </w:r>
            <w:r w:rsidRPr="00497CE0">
              <w:rPr>
                <w:rFonts w:eastAsia="Cambria"/>
                <w:lang w:val="pl-PL" w:bidi="pl-PL"/>
              </w:rPr>
              <w:t>odpowiedzalność za wszelkie zobowiązania z tym związane np. prawidłowe udzielenie pomocy (w</w:t>
            </w:r>
            <w:r>
              <w:rPr>
                <w:rFonts w:eastAsia="Cambria"/>
                <w:lang w:val="pl-PL" w:bidi="pl-PL"/>
              </w:rPr>
              <w:t xml:space="preserve"> </w:t>
            </w:r>
            <w:r w:rsidRPr="00497CE0">
              <w:rPr>
                <w:rFonts w:eastAsia="Cambria"/>
                <w:lang w:val="pl-PL" w:bidi="pl-PL"/>
              </w:rPr>
              <w:t>tym zbadanie warunków do jej udzielenia), zebranie oraz wystawienie wymaganych dokumentów,</w:t>
            </w:r>
            <w:r>
              <w:rPr>
                <w:rFonts w:eastAsia="Cambria"/>
                <w:lang w:val="pl-PL" w:bidi="pl-PL"/>
              </w:rPr>
              <w:t xml:space="preserve"> </w:t>
            </w:r>
            <w:r w:rsidRPr="00497CE0">
              <w:rPr>
                <w:rFonts w:eastAsia="Cambria"/>
                <w:lang w:val="pl-PL" w:bidi="pl-PL"/>
              </w:rPr>
              <w:t>zgodnie z przepisami krajowymi.</w:t>
            </w:r>
          </w:p>
          <w:p w14:paraId="289CB8C1" w14:textId="77777777" w:rsidR="00BE4A1A" w:rsidRPr="00497CE0" w:rsidRDefault="00BE4A1A" w:rsidP="00BE4A1A">
            <w:pPr>
              <w:rPr>
                <w:rFonts w:eastAsia="Cambria"/>
                <w:lang w:val="pl-PL" w:bidi="pl-PL"/>
              </w:rPr>
            </w:pPr>
            <w:r w:rsidRPr="00497CE0">
              <w:rPr>
                <w:rFonts w:eastAsia="Cambria"/>
                <w:lang w:val="pl-PL" w:bidi="pl-PL"/>
              </w:rPr>
              <w:t>Całkowita wartość pomocy dla jednego przedsiębiorstwa w ramach jednego projektu nie może</w:t>
            </w:r>
          </w:p>
          <w:p w14:paraId="1F6893FD" w14:textId="77777777" w:rsidR="00BE4A1A" w:rsidRDefault="00BE4A1A" w:rsidP="00BE4A1A">
            <w:pPr>
              <w:rPr>
                <w:rFonts w:eastAsia="Cambria"/>
                <w:lang w:val="pl-PL" w:bidi="pl-PL"/>
              </w:rPr>
            </w:pPr>
            <w:r w:rsidRPr="00497CE0">
              <w:rPr>
                <w:rFonts w:eastAsia="Cambria"/>
                <w:lang w:val="pl-PL" w:bidi="pl-PL"/>
              </w:rPr>
              <w:t>przekroczyć limitu 20 000 EUR.</w:t>
            </w:r>
          </w:p>
          <w:p w14:paraId="0A021C84" w14:textId="77777777" w:rsidR="00BE4A1A" w:rsidRDefault="00BE4A1A" w:rsidP="00BE4A1A">
            <w:pPr>
              <w:rPr>
                <w:rFonts w:eastAsia="Cambria"/>
                <w:lang w:val="pl-PL" w:bidi="pl-PL"/>
              </w:rPr>
            </w:pPr>
            <w:r w:rsidRPr="00497CE0">
              <w:rPr>
                <w:rFonts w:eastAsia="Cambria"/>
                <w:lang w:val="pl-PL" w:bidi="pl-PL"/>
              </w:rPr>
              <w:t>Załączniki, które odnoszą się do art. 20a GBER:</w:t>
            </w:r>
          </w:p>
          <w:p w14:paraId="0E0CB1FF" w14:textId="77777777" w:rsidR="00BE4A1A" w:rsidRDefault="00BE4A1A" w:rsidP="00BE4A1A">
            <w:pPr>
              <w:numPr>
                <w:ilvl w:val="0"/>
                <w:numId w:val="40"/>
              </w:numPr>
              <w:rPr>
                <w:rFonts w:eastAsia="Cambria"/>
                <w:lang w:val="pl-PL" w:bidi="pl-PL"/>
              </w:rPr>
            </w:pPr>
            <w:r w:rsidRPr="00497CE0">
              <w:rPr>
                <w:rFonts w:eastAsia="Cambria"/>
                <w:lang w:val="pl-PL" w:bidi="pl-PL"/>
              </w:rPr>
              <w:t>Oświadczenie partnera dotyczące pomocy w ramach wyłączenia blokowego</w:t>
            </w:r>
            <w:r>
              <w:rPr>
                <w:rFonts w:eastAsia="Cambria"/>
                <w:lang w:val="pl-PL" w:bidi="pl-PL"/>
              </w:rPr>
              <w:t xml:space="preserve"> </w:t>
            </w:r>
            <w:r w:rsidRPr="00497CE0">
              <w:rPr>
                <w:rFonts w:eastAsia="Cambria"/>
                <w:lang w:val="pl-PL" w:bidi="pl-PL"/>
              </w:rPr>
              <w:t>(wypełnia przedstawiciel grupy docelowej lub mikrobeneficjent w ramach Funduszu</w:t>
            </w:r>
            <w:r>
              <w:rPr>
                <w:rFonts w:eastAsia="Cambria"/>
                <w:lang w:val="pl-PL" w:bidi="pl-PL"/>
              </w:rPr>
              <w:t xml:space="preserve"> </w:t>
            </w:r>
            <w:r w:rsidRPr="00497CE0">
              <w:rPr>
                <w:rFonts w:eastAsia="Cambria"/>
                <w:lang w:val="pl-PL" w:bidi="pl-PL"/>
              </w:rPr>
              <w:t>Małych Projektów, a nie beneficjent występujący tu jako podmiot udzielający</w:t>
            </w:r>
            <w:r>
              <w:rPr>
                <w:rFonts w:eastAsia="Cambria"/>
                <w:lang w:val="pl-PL" w:bidi="pl-PL"/>
              </w:rPr>
              <w:t xml:space="preserve"> </w:t>
            </w:r>
            <w:r w:rsidRPr="00497CE0">
              <w:rPr>
                <w:rFonts w:eastAsia="Cambria"/>
                <w:lang w:val="pl-PL" w:bidi="pl-PL"/>
              </w:rPr>
              <w:t>dofinansowania)</w:t>
            </w:r>
          </w:p>
          <w:p w14:paraId="4521EFEF" w14:textId="77777777" w:rsidR="00BE4A1A" w:rsidRDefault="00BE4A1A" w:rsidP="00BE4A1A">
            <w:pPr>
              <w:rPr>
                <w:rFonts w:eastAsia="Cambria"/>
                <w:lang w:val="pl-PL" w:bidi="pl-PL"/>
              </w:rPr>
            </w:pPr>
          </w:p>
          <w:p w14:paraId="35C32374" w14:textId="77777777" w:rsidR="00BE4A1A" w:rsidRPr="0042196D" w:rsidRDefault="00BE4A1A" w:rsidP="0042196D">
            <w:pPr>
              <w:spacing w:after="0"/>
              <w:rPr>
                <w:rFonts w:eastAsia="Calibri" w:cs="Arial"/>
                <w:bdr w:val="nil"/>
                <w:lang w:val="pl-PL" w:bidi="pl-PL"/>
              </w:rPr>
            </w:pPr>
          </w:p>
        </w:tc>
      </w:tr>
      <w:tr w:rsidR="00972D89" w:rsidRPr="0013431E" w14:paraId="39D055F7" w14:textId="77777777" w:rsidTr="00E24D2A">
        <w:tc>
          <w:tcPr>
            <w:tcW w:w="6711" w:type="dxa"/>
          </w:tcPr>
          <w:p w14:paraId="79476297" w14:textId="77777777" w:rsidR="0066775D" w:rsidRDefault="0066775D" w:rsidP="0066775D"/>
          <w:p w14:paraId="3B3DD7CD" w14:textId="77777777" w:rsidR="00497CE0" w:rsidRDefault="00497CE0" w:rsidP="00497CE0"/>
          <w:p w14:paraId="234C995F" w14:textId="77777777" w:rsidR="00C72936" w:rsidRDefault="00C72936" w:rsidP="00497CE0"/>
          <w:p w14:paraId="635178BF" w14:textId="35F2FF4F" w:rsidR="00C72936" w:rsidRPr="00C72936" w:rsidRDefault="00C72936" w:rsidP="00C72936">
            <w:pPr>
              <w:numPr>
                <w:ilvl w:val="0"/>
                <w:numId w:val="36"/>
              </w:numPr>
              <w:rPr>
                <w:b/>
                <w:bCs/>
              </w:rPr>
            </w:pPr>
            <w:r w:rsidRPr="00C72936">
              <w:rPr>
                <w:b/>
                <w:bCs/>
              </w:rPr>
              <w:t>Čl. 53 GBER – podpora kultury a zachování kulturního dědictví</w:t>
            </w:r>
          </w:p>
          <w:p w14:paraId="4C355284" w14:textId="77777777" w:rsidR="00C72936" w:rsidRDefault="00C72936" w:rsidP="00497CE0"/>
          <w:p w14:paraId="2251FF68" w14:textId="77777777" w:rsidR="00C72936" w:rsidRDefault="00C72936" w:rsidP="00C72936">
            <w:r>
              <w:t>Podporu lze poskytnout na následující účely a činnosti (upozornění: níže se jedná o výčet</w:t>
            </w:r>
          </w:p>
          <w:p w14:paraId="3EBFF4A6" w14:textId="77777777" w:rsidR="00C72936" w:rsidRDefault="00C72936" w:rsidP="00C72936">
            <w:r>
              <w:t>činností, které definuje nařízení 651/2014, tudíž ne všechny vyjmenované aktivity budou</w:t>
            </w:r>
          </w:p>
          <w:p w14:paraId="65196329" w14:textId="77777777" w:rsidR="00C72936" w:rsidRDefault="00C72936" w:rsidP="00C72936">
            <w:r>
              <w:t>automaticky vhodnými aktivitami pro financování z Programu. Je důležité, aby aktivity</w:t>
            </w:r>
          </w:p>
          <w:p w14:paraId="19FE1A73" w14:textId="79994F23" w:rsidR="00C72936" w:rsidRDefault="00C72936" w:rsidP="00C72936">
            <w:r>
              <w:t xml:space="preserve">projektu byly způsobilé i s ohledem na zaměření příslušné prioritní </w:t>
            </w:r>
            <w:r w:rsidR="003119EC">
              <w:t>cíle</w:t>
            </w:r>
            <w:r>
              <w:t xml:space="preserve"> tak, jak je popsáno</w:t>
            </w:r>
          </w:p>
          <w:p w14:paraId="2DA9AF8F" w14:textId="44497F99" w:rsidR="00C72936" w:rsidRDefault="00C72936" w:rsidP="00C72936">
            <w:r>
              <w:t>v příručce pro žadatele):</w:t>
            </w:r>
          </w:p>
          <w:p w14:paraId="6A236BA0" w14:textId="3445A92E" w:rsidR="00C72936" w:rsidRDefault="00C72936" w:rsidP="00C72936">
            <w:pPr>
              <w:numPr>
                <w:ilvl w:val="0"/>
                <w:numId w:val="41"/>
              </w:numPr>
            </w:pPr>
            <w:r>
              <w:lastRenderedPageBreak/>
              <w:t>muzea, archivy, knihovny, umělecká a kulturní centra či prostory, divadla, opery, koncertní síně, další organizace pořádající živá vystoupení, filmové archivy a další podobná umělecká a kulturní zařízení, organizace a instituce;</w:t>
            </w:r>
          </w:p>
          <w:p w14:paraId="010FB513" w14:textId="502227B7" w:rsidR="00C72936" w:rsidRDefault="00C72936" w:rsidP="00C72936">
            <w:pPr>
              <w:numPr>
                <w:ilvl w:val="0"/>
                <w:numId w:val="41"/>
              </w:numPr>
            </w:pPr>
            <w:r>
              <w:t>hmotné dědictví, včetně všech forem movitého a nemovitého kulturního dědictví a archeologických nalezišť, památek, historických památek a budov; přírodní dědictví související s kulturním dědictvím nebo, pokud je formálně uznáno za kulturní nebo přírodní dědictví, příslušnými orgány členského státu;</w:t>
            </w:r>
          </w:p>
          <w:p w14:paraId="2D4FCD3F" w14:textId="3E269C49" w:rsidR="00C72936" w:rsidRDefault="00C72936" w:rsidP="00C72936">
            <w:pPr>
              <w:numPr>
                <w:ilvl w:val="0"/>
                <w:numId w:val="41"/>
              </w:numPr>
            </w:pPr>
            <w:r w:rsidRPr="00C72936">
              <w:t>hmotné dědictví v jakékoli formě včetně folklorních tradic a řemesel;</w:t>
            </w:r>
          </w:p>
          <w:p w14:paraId="2CB5F368" w14:textId="7774742B" w:rsidR="00C72936" w:rsidRDefault="00C72936" w:rsidP="00C72936">
            <w:pPr>
              <w:numPr>
                <w:ilvl w:val="0"/>
                <w:numId w:val="41"/>
              </w:numPr>
            </w:pPr>
            <w:r w:rsidRPr="00C72936">
              <w:t>umělecké či kulturní akce a vystoupení, festivaly, výstavy a podobné kulturní činnosti;</w:t>
            </w:r>
          </w:p>
          <w:p w14:paraId="237D3855" w14:textId="4BC88897" w:rsidR="00C72936" w:rsidRDefault="00C72936" w:rsidP="00C72936">
            <w:pPr>
              <w:numPr>
                <w:ilvl w:val="0"/>
                <w:numId w:val="41"/>
              </w:numPr>
            </w:pPr>
            <w:r>
              <w:t>činnosti v oblasti kulturního a uměleckého vzdělávání, jakož i podpora porozumění významu ochrany a prosazování rozmanitosti kulturního vyjádření prostřednictvím vzdělávání a programů, jež mají zvýšit informovanost veřejnosti, včetně činností využívajících nové technologie;</w:t>
            </w:r>
          </w:p>
          <w:p w14:paraId="40F5ED58" w14:textId="3AE92514" w:rsidR="00C72936" w:rsidRDefault="00C72936" w:rsidP="00C72936">
            <w:pPr>
              <w:numPr>
                <w:ilvl w:val="0"/>
                <w:numId w:val="41"/>
              </w:numPr>
            </w:pPr>
            <w:r>
              <w:t>psaní, editace, produkce, distribuce, digitalizace a vydávání hudby a literatury, včetně překladů.</w:t>
            </w:r>
          </w:p>
          <w:p w14:paraId="0102CF24" w14:textId="6B7F045B" w:rsidR="00C72936" w:rsidRPr="00497CE0" w:rsidRDefault="00C72936" w:rsidP="00C72936">
            <w:r>
              <w:t>Podpora může být poskytnuta jako investice (investiční podpora), tj. na výstavbu nebo rekonstrukce a obnovy přírodního a kulturního dědictví nebo jako provozní podpora.</w:t>
            </w:r>
          </w:p>
          <w:p w14:paraId="2B99BCAC" w14:textId="77777777" w:rsidR="00972D89" w:rsidRDefault="00972D89" w:rsidP="00353BF3">
            <w:pPr>
              <w:pStyle w:val="Nagwek4"/>
              <w:rPr>
                <w:rFonts w:cs="Arial"/>
                <w:sz w:val="16"/>
              </w:rPr>
            </w:pPr>
          </w:p>
          <w:p w14:paraId="329BA6C0" w14:textId="77777777" w:rsidR="00C72936" w:rsidRDefault="00C72936" w:rsidP="00C72936"/>
          <w:p w14:paraId="7967A42D" w14:textId="77777777" w:rsidR="00611CB4" w:rsidRDefault="00611CB4" w:rsidP="00C72936"/>
          <w:p w14:paraId="232D133C" w14:textId="57266487" w:rsidR="00C72936" w:rsidRPr="00C72936" w:rsidRDefault="00C72936" w:rsidP="00C72936">
            <w:pPr>
              <w:rPr>
                <w:u w:val="single"/>
              </w:rPr>
            </w:pPr>
            <w:r w:rsidRPr="00C72936">
              <w:rPr>
                <w:u w:val="single"/>
              </w:rPr>
              <w:t>V případě investiční podpory do hmotného a nehmotného majetku jsou způsobilé následující náklady:</w:t>
            </w:r>
          </w:p>
          <w:p w14:paraId="3C78A94D" w14:textId="77777777" w:rsidR="00C72936" w:rsidRDefault="00C72936" w:rsidP="00C72936"/>
          <w:p w14:paraId="372A9185" w14:textId="267F69E7" w:rsidR="00C72936" w:rsidRDefault="00C72936" w:rsidP="00C72936">
            <w:pPr>
              <w:numPr>
                <w:ilvl w:val="0"/>
                <w:numId w:val="43"/>
              </w:numPr>
            </w:pPr>
            <w:r>
              <w:t>náklady na výstavbu, modernizaci, pořízení, zachování nebo zlepšení infrastruktury, jejíž časová či prostorová kapacita se používá nejméně z 80 % ročně pro kulturní účely;</w:t>
            </w:r>
          </w:p>
          <w:p w14:paraId="23A180B4" w14:textId="5737A64D" w:rsidR="00C72936" w:rsidRDefault="00C72936" w:rsidP="00C72936">
            <w:pPr>
              <w:numPr>
                <w:ilvl w:val="0"/>
                <w:numId w:val="43"/>
              </w:numPr>
            </w:pPr>
            <w:r>
              <w:t>náklady na pořízení, včetně leasingu, náklady na převod vlastnictví nebo fyzické přemístění kulturního dědictví;</w:t>
            </w:r>
          </w:p>
          <w:p w14:paraId="7C274829" w14:textId="0AF3E35F" w:rsidR="00C72936" w:rsidRDefault="00C72936" w:rsidP="00C72936">
            <w:pPr>
              <w:numPr>
                <w:ilvl w:val="0"/>
                <w:numId w:val="43"/>
              </w:numPr>
            </w:pPr>
            <w:r>
              <w:t>náklady na zajištění, zachování, obnovu a asanaci hmotného a nehmotného kulturního dědictví, včetně dodatečné náklady na skladování za vhodných podmínek, náklady na speciální nástroje a materiály a náklady na dokumentaci, výzkum, digitalizaci a zveřejnění;</w:t>
            </w:r>
          </w:p>
          <w:p w14:paraId="769B5FD3" w14:textId="08959B66" w:rsidR="00C72936" w:rsidRDefault="00C72936" w:rsidP="00C72936">
            <w:pPr>
              <w:numPr>
                <w:ilvl w:val="0"/>
                <w:numId w:val="43"/>
              </w:numPr>
            </w:pPr>
            <w:r>
              <w:t>náklady na zlepšení dostupnosti kulturního dědictví pro veřejnost, včetně nákladů na digitalizaci a další nové technologie, dále náklady na zlepšení dostupnosti pro osoby se zvláštními potřebami (zejména rampy a zdviže pro zdravotně postižené osoby, nápisy v Braillově písmu a praktické exponáty v muzeích) a náklady na propagaci kulturní rozmanitosti souvisejících s prezentací, programy a návštěvníky;</w:t>
            </w:r>
          </w:p>
          <w:p w14:paraId="70D5FADF" w14:textId="1045390F" w:rsidR="00C72936" w:rsidRDefault="00C72936" w:rsidP="00C72936">
            <w:pPr>
              <w:numPr>
                <w:ilvl w:val="0"/>
                <w:numId w:val="43"/>
              </w:numPr>
            </w:pPr>
            <w:r>
              <w:t>náklady na kulturní projekty a činnosti, spolupráci a výměnné programy a granty, včetně nákladů na výběrová řízení, nákladů na propagaci a nákladů, které vznikly přímo v důsledku provádění projektu.</w:t>
            </w:r>
          </w:p>
          <w:p w14:paraId="4143C445" w14:textId="77777777" w:rsidR="00C72936" w:rsidRDefault="00C72936" w:rsidP="00C72936"/>
          <w:p w14:paraId="1229878E" w14:textId="77777777" w:rsidR="00C72936" w:rsidRDefault="00C72936" w:rsidP="00C72936"/>
          <w:p w14:paraId="6714D966" w14:textId="4385E86E" w:rsidR="00C72936" w:rsidRDefault="00611CB4" w:rsidP="00C72936">
            <w:pPr>
              <w:rPr>
                <w:u w:val="single"/>
              </w:rPr>
            </w:pPr>
            <w:r w:rsidRPr="00611CB4">
              <w:rPr>
                <w:u w:val="single"/>
              </w:rPr>
              <w:t>V případě provozní podpory jsou způsobilé tyto náklady:</w:t>
            </w:r>
          </w:p>
          <w:p w14:paraId="1F3B5C48" w14:textId="77777777" w:rsidR="00611CB4" w:rsidRPr="00611CB4" w:rsidRDefault="00611CB4" w:rsidP="00C72936">
            <w:pPr>
              <w:rPr>
                <w:u w:val="single"/>
              </w:rPr>
            </w:pPr>
          </w:p>
          <w:p w14:paraId="48862B84" w14:textId="4DFB8956" w:rsidR="00611CB4" w:rsidRDefault="00611CB4" w:rsidP="00611CB4">
            <w:pPr>
              <w:numPr>
                <w:ilvl w:val="0"/>
                <w:numId w:val="45"/>
              </w:numPr>
            </w:pPr>
            <w:r>
              <w:t>náklady, které kulturní instituci nebo lokalitě kulturního dědictví vznikly v souvislosti se stálými nebo pravidelnými činnostmi, včetně výstav, představení a akcí a podobných kulturních činností, k nimž dochází v rámci běžné činnosti;</w:t>
            </w:r>
          </w:p>
          <w:p w14:paraId="6C296524" w14:textId="5B92E8D7" w:rsidR="00611CB4" w:rsidRDefault="00611CB4" w:rsidP="00611CB4">
            <w:pPr>
              <w:numPr>
                <w:ilvl w:val="0"/>
                <w:numId w:val="45"/>
              </w:numPr>
            </w:pPr>
            <w:r>
              <w:t>náklady na činnosti v oblasti kulturního a uměleckého vzdělávání, jakož i podpora porozumění významu ochrany a prosazování rozmanitosti kulturního vyjádření prostřednictvím vzdělávání a programů, jež mají zvýšit informovanost veřejnosti, včetně činností využívajících nové technologie;</w:t>
            </w:r>
          </w:p>
          <w:p w14:paraId="1E0CD238" w14:textId="0E5453F6" w:rsidR="00611CB4" w:rsidRDefault="00611CB4" w:rsidP="00611CB4">
            <w:pPr>
              <w:numPr>
                <w:ilvl w:val="0"/>
                <w:numId w:val="45"/>
              </w:numPr>
            </w:pPr>
            <w:r>
              <w:t>náklady na zlepšení přístupu veřejnosti ke kulturním institucím nebo lokalitám a činnostem kulturního dědictví, včetně nákladů na digitalizaci a používání nových technologií, jakož i nákladů na zlepšení přístupu osob se zdravotním postižením;</w:t>
            </w:r>
          </w:p>
          <w:p w14:paraId="486EEF98" w14:textId="4C77A376" w:rsidR="00611CB4" w:rsidRDefault="00611CB4" w:rsidP="00611CB4">
            <w:pPr>
              <w:numPr>
                <w:ilvl w:val="0"/>
                <w:numId w:val="45"/>
              </w:numPr>
            </w:pPr>
            <w:r>
              <w:t>provozní náklady týkající se přímo kulturního projektu nebo činnosti, jako je pronájem nemovitostí a kulturních prostor, cestovní výdaje, výdaje na materiály a vybavení související přímo s kulturním projektem nebo činností, architektonické konstrukce pro výstavy a jeviště, pronájem, leasing a odpisy nástrojů, softwaru a vybavení, náklady na užití děl chráněných autorskými právy a dalších souvisejících obsahů chráněných právy duševního vlastnictví, náklady na propagaci a náklady, které vznikly přímo v důsledku provádění projektu nebo činnosti; odpisy a finanční náklady jsou způsobilé pouze v případě, že nebyly pokryty investiční podporou;</w:t>
            </w:r>
          </w:p>
          <w:p w14:paraId="78E606B7" w14:textId="4E660549" w:rsidR="00611CB4" w:rsidRDefault="00611CB4" w:rsidP="00611CB4">
            <w:pPr>
              <w:numPr>
                <w:ilvl w:val="0"/>
                <w:numId w:val="45"/>
              </w:numPr>
            </w:pPr>
            <w:r w:rsidRPr="00611CB4">
              <w:t>náklady na personál pracující v kulturní instituci, v lokalitě kulturního dědictví nebo na</w:t>
            </w:r>
            <w:r>
              <w:t xml:space="preserve"> </w:t>
            </w:r>
            <w:r w:rsidRPr="00611CB4">
              <w:t>projektu;</w:t>
            </w:r>
          </w:p>
          <w:p w14:paraId="164F210B" w14:textId="19EBA272" w:rsidR="00611CB4" w:rsidRDefault="00611CB4" w:rsidP="00611CB4">
            <w:pPr>
              <w:numPr>
                <w:ilvl w:val="0"/>
                <w:numId w:val="45"/>
              </w:numPr>
            </w:pPr>
            <w:r>
              <w:t>náklady na poradenské a podpůrné služby poskytované externími poradci a poskytovateli služeb, které vznikly přímo v důsledku provádění projektu.</w:t>
            </w:r>
          </w:p>
          <w:p w14:paraId="0E58817F" w14:textId="77777777" w:rsidR="00611CB4" w:rsidRDefault="00611CB4" w:rsidP="00611CB4"/>
          <w:p w14:paraId="05D9C8B1" w14:textId="721EBF6B" w:rsidR="00611CB4" w:rsidRDefault="00611CB4" w:rsidP="00611CB4">
            <w:r>
              <w:t>V případě investiční podpory, výše podpory nesmí přesáhnout výši rozdílu mezi způsobilými náklady a provozním ziskem z investice. Provozní zisk5 se předem odečítá od způsobilých výdajů na základě odůvodněných odhadů nebo se uplatní mechanismus zpětného vymáhání podpory.</w:t>
            </w:r>
          </w:p>
          <w:p w14:paraId="72F4C032" w14:textId="77777777" w:rsidR="00611CB4" w:rsidRDefault="00611CB4" w:rsidP="00611CB4">
            <w:r>
              <w:t>Pokud jde o provozní podporu, výše podpory nesmí přesáhnout částku, která je nezbytná k</w:t>
            </w:r>
          </w:p>
          <w:p w14:paraId="5D658E16" w14:textId="3A3942B7" w:rsidR="00C72936" w:rsidRDefault="00611CB4" w:rsidP="00611CB4">
            <w:r>
              <w:t>pokrytí provozních ztrát a vygenerování přiměřeného zisku za příslušné období. Splnění tohoto požadavku se zajistí předem na základě odůvodněných odhadů nebo se uplatní mechanismus zpětného vymáhání podpory.</w:t>
            </w:r>
          </w:p>
          <w:p w14:paraId="2ECD2FF4" w14:textId="6702E091" w:rsidR="00611CB4" w:rsidRDefault="00611CB4" w:rsidP="00611CB4">
            <w:r>
              <w:t>Pokud se bude jednat o podporu, která nepřesáhne 2 miliony EUR, lze maximální výši podpory stanovit na úrovni 80 % způsobilých nákladů.</w:t>
            </w:r>
          </w:p>
          <w:p w14:paraId="49404DCE" w14:textId="77777777" w:rsidR="00C72936" w:rsidRDefault="00C72936" w:rsidP="00C72936"/>
          <w:p w14:paraId="4771431E" w14:textId="61D61F8D" w:rsidR="00611CB4" w:rsidRPr="005417FA" w:rsidRDefault="005417FA" w:rsidP="00C72936">
            <w:pPr>
              <w:rPr>
                <w:u w:val="single"/>
              </w:rPr>
            </w:pPr>
            <w:r w:rsidRPr="005417FA">
              <w:rPr>
                <w:u w:val="single"/>
              </w:rPr>
              <w:t>Podpora na vydávání hudby a literatury</w:t>
            </w:r>
          </w:p>
        </w:tc>
        <w:tc>
          <w:tcPr>
            <w:tcW w:w="7509" w:type="dxa"/>
          </w:tcPr>
          <w:p w14:paraId="736DA460" w14:textId="77777777" w:rsidR="00C72936" w:rsidRDefault="00C72936" w:rsidP="00C72936">
            <w:pPr>
              <w:rPr>
                <w:rFonts w:eastAsia="Cambria"/>
                <w:lang w:val="pl-PL" w:bidi="pl-PL"/>
              </w:rPr>
            </w:pPr>
          </w:p>
          <w:p w14:paraId="705DCB4A" w14:textId="77777777" w:rsidR="00C72936" w:rsidRDefault="00C72936" w:rsidP="00C72936">
            <w:pPr>
              <w:rPr>
                <w:rFonts w:eastAsia="Cambria"/>
                <w:lang w:val="pl-PL" w:bidi="pl-PL"/>
              </w:rPr>
            </w:pPr>
          </w:p>
          <w:p w14:paraId="4E4FC0D8" w14:textId="77777777" w:rsidR="00C72936" w:rsidRDefault="00C72936" w:rsidP="00C72936">
            <w:pPr>
              <w:numPr>
                <w:ilvl w:val="0"/>
                <w:numId w:val="34"/>
              </w:numPr>
              <w:rPr>
                <w:rFonts w:eastAsia="Cambria"/>
                <w:b/>
                <w:bCs/>
                <w:lang w:val="pl-PL" w:bidi="pl-PL"/>
              </w:rPr>
            </w:pPr>
            <w:r w:rsidRPr="00C72936">
              <w:rPr>
                <w:rFonts w:eastAsia="Cambria"/>
                <w:b/>
                <w:bCs/>
                <w:lang w:val="pl-PL" w:bidi="pl-PL"/>
              </w:rPr>
              <w:t>Art. 53 GBER - Wsparcie kultury i zachowania dziedzictwa kulturowego</w:t>
            </w:r>
          </w:p>
          <w:p w14:paraId="4E701DA8" w14:textId="77777777" w:rsidR="00C72936" w:rsidRDefault="00C72936" w:rsidP="00C72936">
            <w:pPr>
              <w:rPr>
                <w:rFonts w:eastAsia="Cambria"/>
                <w:b/>
                <w:bCs/>
                <w:lang w:val="pl-PL" w:bidi="pl-PL"/>
              </w:rPr>
            </w:pPr>
          </w:p>
          <w:p w14:paraId="6119FD43" w14:textId="705C8C29" w:rsidR="00C72936" w:rsidRDefault="00C72936" w:rsidP="00C72936">
            <w:pPr>
              <w:rPr>
                <w:rFonts w:eastAsia="Cambria"/>
                <w:lang w:val="pl-PL" w:bidi="pl-PL"/>
              </w:rPr>
            </w:pPr>
            <w:r w:rsidRPr="00C72936">
              <w:rPr>
                <w:rFonts w:eastAsia="Cambria"/>
                <w:lang w:val="pl-PL" w:bidi="pl-PL"/>
              </w:rPr>
              <w:t>Pomocy udzielić można na następujące cele i działania: (uwaga: poniższy spis działań pochodzi z</w:t>
            </w:r>
            <w:r>
              <w:rPr>
                <w:rFonts w:eastAsia="Cambria"/>
                <w:lang w:val="pl-PL" w:bidi="pl-PL"/>
              </w:rPr>
              <w:t xml:space="preserve"> </w:t>
            </w:r>
            <w:r w:rsidRPr="00C72936">
              <w:rPr>
                <w:rFonts w:eastAsia="Cambria"/>
                <w:lang w:val="pl-PL" w:bidi="pl-PL"/>
              </w:rPr>
              <w:t>rozporządzenia 651/2014, nie wszystkie z wymienionych wyłączonych działań będą zatem</w:t>
            </w:r>
            <w:r>
              <w:rPr>
                <w:rFonts w:eastAsia="Cambria"/>
                <w:lang w:val="pl-PL" w:bidi="pl-PL"/>
              </w:rPr>
              <w:t xml:space="preserve"> </w:t>
            </w:r>
            <w:r w:rsidRPr="00C72936">
              <w:rPr>
                <w:rFonts w:eastAsia="Cambria"/>
                <w:lang w:val="pl-PL" w:bidi="pl-PL"/>
              </w:rPr>
              <w:t>automatycznie działaniami nadającymi się do finansowania w ramach Programu. Istotne jest,</w:t>
            </w:r>
            <w:r>
              <w:rPr>
                <w:rFonts w:eastAsia="Cambria"/>
                <w:lang w:val="pl-PL" w:bidi="pl-PL"/>
              </w:rPr>
              <w:t xml:space="preserve"> </w:t>
            </w:r>
            <w:r w:rsidRPr="00C72936">
              <w:rPr>
                <w:rFonts w:eastAsia="Cambria"/>
                <w:lang w:val="pl-PL" w:bidi="pl-PL"/>
              </w:rPr>
              <w:t>aby działania projektu były kwalifikowalne również z punktu widzenia ukierunkowania dane</w:t>
            </w:r>
            <w:r w:rsidR="003119EC">
              <w:rPr>
                <w:rFonts w:eastAsia="Cambria"/>
                <w:lang w:val="pl-PL" w:bidi="pl-PL"/>
              </w:rPr>
              <w:t>go</w:t>
            </w:r>
            <w:r>
              <w:rPr>
                <w:rFonts w:eastAsia="Cambria"/>
                <w:lang w:val="pl-PL" w:bidi="pl-PL"/>
              </w:rPr>
              <w:t xml:space="preserve"> </w:t>
            </w:r>
            <w:r w:rsidR="003119EC">
              <w:rPr>
                <w:rFonts w:eastAsia="Cambria"/>
                <w:lang w:val="pl-PL" w:bidi="pl-PL"/>
              </w:rPr>
              <w:t>celu</w:t>
            </w:r>
            <w:r w:rsidRPr="00C72936">
              <w:rPr>
                <w:rFonts w:eastAsia="Cambria"/>
                <w:lang w:val="pl-PL" w:bidi="pl-PL"/>
              </w:rPr>
              <w:t xml:space="preserve"> priorytetowe</w:t>
            </w:r>
            <w:r w:rsidR="003119EC">
              <w:rPr>
                <w:rFonts w:eastAsia="Cambria"/>
                <w:lang w:val="pl-PL" w:bidi="pl-PL"/>
              </w:rPr>
              <w:t>go</w:t>
            </w:r>
            <w:r w:rsidRPr="00C72936">
              <w:rPr>
                <w:rFonts w:eastAsia="Cambria"/>
                <w:lang w:val="pl-PL" w:bidi="pl-PL"/>
              </w:rPr>
              <w:t>, opisanego w Podręczniku Wnioskodawcy):</w:t>
            </w:r>
          </w:p>
          <w:p w14:paraId="1A669621" w14:textId="77777777" w:rsidR="00C72936" w:rsidRDefault="00C72936" w:rsidP="00C72936">
            <w:pPr>
              <w:numPr>
                <w:ilvl w:val="0"/>
                <w:numId w:val="42"/>
              </w:numPr>
              <w:rPr>
                <w:rFonts w:eastAsia="Cambria"/>
                <w:lang w:val="pl-PL" w:bidi="pl-PL"/>
              </w:rPr>
            </w:pPr>
            <w:r w:rsidRPr="00C72936">
              <w:rPr>
                <w:rFonts w:eastAsia="Cambria"/>
                <w:lang w:val="pl-PL" w:bidi="pl-PL"/>
              </w:rPr>
              <w:t>muzea, archiwa, biblioteki, ośrodki lub przestrzenie kulturalne i artystyczne, teatry, opery, sale</w:t>
            </w:r>
            <w:r>
              <w:rPr>
                <w:rFonts w:eastAsia="Cambria"/>
                <w:lang w:val="pl-PL" w:bidi="pl-PL"/>
              </w:rPr>
              <w:t xml:space="preserve"> </w:t>
            </w:r>
            <w:r w:rsidRPr="00C72936">
              <w:rPr>
                <w:rFonts w:eastAsia="Cambria"/>
                <w:lang w:val="pl-PL" w:bidi="pl-PL"/>
              </w:rPr>
              <w:t xml:space="preserve">koncertowe, inne organizacje wystawiające widowiska sceniczne, instytucje </w:t>
            </w:r>
            <w:r w:rsidRPr="00C72936">
              <w:rPr>
                <w:rFonts w:eastAsia="Cambria"/>
                <w:lang w:val="pl-PL" w:bidi="pl-PL"/>
              </w:rPr>
              <w:lastRenderedPageBreak/>
              <w:t>odpowiedzialne za</w:t>
            </w:r>
            <w:r>
              <w:rPr>
                <w:rFonts w:eastAsia="Cambria"/>
                <w:lang w:val="pl-PL" w:bidi="pl-PL"/>
              </w:rPr>
              <w:t xml:space="preserve"> </w:t>
            </w:r>
            <w:r w:rsidRPr="00C72936">
              <w:rPr>
                <w:rFonts w:eastAsia="Cambria"/>
                <w:lang w:val="pl-PL" w:bidi="pl-PL"/>
              </w:rPr>
              <w:t>dziedzictwo filmowe oraz inne podobne infrastruktury, organizacje i instytucje kulturalne i</w:t>
            </w:r>
            <w:r>
              <w:rPr>
                <w:rFonts w:eastAsia="Cambria"/>
                <w:lang w:val="pl-PL" w:bidi="pl-PL"/>
              </w:rPr>
              <w:t xml:space="preserve"> </w:t>
            </w:r>
            <w:r w:rsidRPr="00C72936">
              <w:rPr>
                <w:rFonts w:eastAsia="Cambria"/>
                <w:lang w:val="pl-PL" w:bidi="pl-PL"/>
              </w:rPr>
              <w:t>artystyczne;</w:t>
            </w:r>
          </w:p>
          <w:p w14:paraId="5BF875B4" w14:textId="77777777" w:rsidR="00C72936" w:rsidRDefault="00C72936" w:rsidP="00C72936">
            <w:pPr>
              <w:numPr>
                <w:ilvl w:val="0"/>
                <w:numId w:val="42"/>
              </w:numPr>
              <w:rPr>
                <w:rFonts w:eastAsia="Cambria"/>
                <w:lang w:val="pl-PL" w:bidi="pl-PL"/>
              </w:rPr>
            </w:pPr>
            <w:r w:rsidRPr="00C72936">
              <w:rPr>
                <w:rFonts w:eastAsia="Cambria"/>
                <w:lang w:val="pl-PL" w:bidi="pl-PL"/>
              </w:rPr>
              <w:t>materialne zasoby dziedzictwa kulturowego, w tym wszelkie formy ruchomego i nieruchomego</w:t>
            </w:r>
            <w:r>
              <w:rPr>
                <w:rFonts w:eastAsia="Cambria"/>
                <w:lang w:val="pl-PL" w:bidi="pl-PL"/>
              </w:rPr>
              <w:t xml:space="preserve"> </w:t>
            </w:r>
            <w:r w:rsidRPr="00C72936">
              <w:rPr>
                <w:rFonts w:eastAsia="Cambria"/>
                <w:lang w:val="pl-PL" w:bidi="pl-PL"/>
              </w:rPr>
              <w:t>dziedzictwa kulturowego, obiekty archeologiczne, pomniki, obiekty i budynki historyczne;</w:t>
            </w:r>
            <w:r>
              <w:rPr>
                <w:rFonts w:eastAsia="Cambria"/>
                <w:lang w:val="pl-PL" w:bidi="pl-PL"/>
              </w:rPr>
              <w:t xml:space="preserve"> </w:t>
            </w:r>
            <w:r w:rsidRPr="00C72936">
              <w:rPr>
                <w:rFonts w:eastAsia="Cambria"/>
                <w:lang w:val="pl-PL" w:bidi="pl-PL"/>
              </w:rPr>
              <w:t>dziedzictwo naturalne związane z dziedzictwem kulturowym lub jeśli zostały formalnie uznane</w:t>
            </w:r>
            <w:r>
              <w:rPr>
                <w:rFonts w:eastAsia="Cambria"/>
                <w:lang w:val="pl-PL" w:bidi="pl-PL"/>
              </w:rPr>
              <w:t xml:space="preserve"> </w:t>
            </w:r>
            <w:r w:rsidRPr="00C72936">
              <w:rPr>
                <w:rFonts w:eastAsia="Cambria"/>
                <w:lang w:val="pl-PL" w:bidi="pl-PL"/>
              </w:rPr>
              <w:t>za dziedzictwo kulturowe lub naturalne przez właściwe organy publiczne państwa</w:t>
            </w:r>
            <w:r>
              <w:rPr>
                <w:rFonts w:eastAsia="Cambria"/>
                <w:lang w:val="pl-PL" w:bidi="pl-PL"/>
              </w:rPr>
              <w:t xml:space="preserve"> </w:t>
            </w:r>
            <w:r w:rsidRPr="00C72936">
              <w:rPr>
                <w:rFonts w:eastAsia="Cambria"/>
                <w:lang w:val="pl-PL" w:bidi="pl-PL"/>
              </w:rPr>
              <w:t>członkowskiego;</w:t>
            </w:r>
          </w:p>
          <w:p w14:paraId="59792F92" w14:textId="77777777" w:rsidR="00C72936" w:rsidRDefault="00C72936" w:rsidP="00C72936">
            <w:pPr>
              <w:numPr>
                <w:ilvl w:val="0"/>
                <w:numId w:val="42"/>
              </w:numPr>
              <w:rPr>
                <w:rFonts w:eastAsia="Cambria"/>
                <w:lang w:val="pl-PL" w:bidi="pl-PL"/>
              </w:rPr>
            </w:pPr>
            <w:r w:rsidRPr="00C72936">
              <w:rPr>
                <w:rFonts w:eastAsia="Cambria"/>
                <w:lang w:val="pl-PL" w:bidi="pl-PL"/>
              </w:rPr>
              <w:t>niematerialne zasoby dziedzictwa kulturowego w dowolnej formie, w tym zwyczaje ludowe i</w:t>
            </w:r>
            <w:r>
              <w:rPr>
                <w:rFonts w:eastAsia="Cambria"/>
                <w:lang w:val="pl-PL" w:bidi="pl-PL"/>
              </w:rPr>
              <w:t xml:space="preserve"> </w:t>
            </w:r>
            <w:r w:rsidRPr="00C72936">
              <w:rPr>
                <w:rFonts w:eastAsia="Cambria"/>
                <w:lang w:val="pl-PL" w:bidi="pl-PL"/>
              </w:rPr>
              <w:t>rękodzieło;</w:t>
            </w:r>
          </w:p>
          <w:p w14:paraId="6D26D437" w14:textId="77777777" w:rsidR="00C72936" w:rsidRDefault="00C72936" w:rsidP="00C72936">
            <w:pPr>
              <w:numPr>
                <w:ilvl w:val="0"/>
                <w:numId w:val="42"/>
              </w:numPr>
              <w:rPr>
                <w:rFonts w:eastAsia="Cambria"/>
                <w:lang w:val="pl-PL" w:bidi="pl-PL"/>
              </w:rPr>
            </w:pPr>
            <w:r w:rsidRPr="00C72936">
              <w:rPr>
                <w:rFonts w:eastAsia="Cambria"/>
                <w:lang w:val="pl-PL" w:bidi="pl-PL"/>
              </w:rPr>
              <w:t>wydarzenia i spektakle kulturalne lub związane ze sztuką, festiwale, wystawy i inne podobne</w:t>
            </w:r>
            <w:r>
              <w:rPr>
                <w:rFonts w:eastAsia="Cambria"/>
                <w:lang w:val="pl-PL" w:bidi="pl-PL"/>
              </w:rPr>
              <w:t xml:space="preserve"> </w:t>
            </w:r>
            <w:r w:rsidRPr="00C72936">
              <w:rPr>
                <w:rFonts w:eastAsia="Cambria"/>
                <w:lang w:val="pl-PL" w:bidi="pl-PL"/>
              </w:rPr>
              <w:t>działania związane z kulturą;</w:t>
            </w:r>
          </w:p>
          <w:p w14:paraId="2BB2D624" w14:textId="77777777" w:rsidR="00C72936" w:rsidRDefault="00C72936" w:rsidP="00C72936">
            <w:pPr>
              <w:numPr>
                <w:ilvl w:val="0"/>
                <w:numId w:val="42"/>
              </w:numPr>
              <w:rPr>
                <w:rFonts w:eastAsia="Cambria"/>
                <w:lang w:val="pl-PL" w:bidi="pl-PL"/>
              </w:rPr>
            </w:pPr>
            <w:r w:rsidRPr="00C72936">
              <w:rPr>
                <w:rFonts w:eastAsia="Cambria"/>
                <w:lang w:val="pl-PL" w:bidi="pl-PL"/>
              </w:rPr>
              <w:t>edukacja kulturalna i artystyczna, jak również promowanie lepszego zrozumienia znaczenia</w:t>
            </w:r>
            <w:r>
              <w:rPr>
                <w:rFonts w:eastAsia="Cambria"/>
                <w:lang w:val="pl-PL" w:bidi="pl-PL"/>
              </w:rPr>
              <w:t xml:space="preserve"> </w:t>
            </w:r>
            <w:r w:rsidRPr="00C72936">
              <w:rPr>
                <w:rFonts w:eastAsia="Cambria"/>
                <w:lang w:val="pl-PL" w:bidi="pl-PL"/>
              </w:rPr>
              <w:t>ochrony i propagowania różnorodnych form wyrazu kulturowego, za pośrednictwem</w:t>
            </w:r>
            <w:r>
              <w:rPr>
                <w:rFonts w:eastAsia="Cambria"/>
                <w:lang w:val="pl-PL" w:bidi="pl-PL"/>
              </w:rPr>
              <w:t xml:space="preserve"> </w:t>
            </w:r>
            <w:r w:rsidRPr="00C72936">
              <w:rPr>
                <w:rFonts w:eastAsia="Cambria"/>
                <w:lang w:val="pl-PL" w:bidi="pl-PL"/>
              </w:rPr>
              <w:t>programów edukacyjnych oraz programów zwiększających świadomość społeczeństwa, m.in.</w:t>
            </w:r>
            <w:r>
              <w:rPr>
                <w:rFonts w:eastAsia="Cambria"/>
                <w:lang w:val="pl-PL" w:bidi="pl-PL"/>
              </w:rPr>
              <w:t xml:space="preserve"> </w:t>
            </w:r>
            <w:r w:rsidRPr="00C72936">
              <w:rPr>
                <w:rFonts w:eastAsia="Cambria"/>
                <w:lang w:val="pl-PL" w:bidi="pl-PL"/>
              </w:rPr>
              <w:t>przy zastosowaniu nowych technologii;</w:t>
            </w:r>
          </w:p>
          <w:p w14:paraId="0C5588CD" w14:textId="77777777" w:rsidR="00C72936" w:rsidRDefault="00C72936" w:rsidP="00C72936">
            <w:pPr>
              <w:numPr>
                <w:ilvl w:val="0"/>
                <w:numId w:val="42"/>
              </w:numPr>
              <w:rPr>
                <w:rFonts w:eastAsia="Cambria"/>
                <w:lang w:val="pl-PL" w:bidi="pl-PL"/>
              </w:rPr>
            </w:pPr>
            <w:r w:rsidRPr="00C72936">
              <w:rPr>
                <w:rFonts w:eastAsia="Cambria"/>
                <w:lang w:val="pl-PL" w:bidi="pl-PL"/>
              </w:rPr>
              <w:t>tworzenie, redagowanie, produkcja, dystrybucja, digitalizacja i publikacja utworów muzycznych</w:t>
            </w:r>
            <w:r>
              <w:rPr>
                <w:rFonts w:eastAsia="Cambria"/>
                <w:lang w:val="pl-PL" w:bidi="pl-PL"/>
              </w:rPr>
              <w:t xml:space="preserve"> </w:t>
            </w:r>
            <w:r w:rsidRPr="00C72936">
              <w:rPr>
                <w:rFonts w:eastAsia="Cambria"/>
                <w:lang w:val="pl-PL" w:bidi="pl-PL"/>
              </w:rPr>
              <w:t>i literackich, w tym przekładów</w:t>
            </w:r>
            <w:r>
              <w:rPr>
                <w:rFonts w:eastAsia="Cambria"/>
                <w:lang w:val="pl-PL" w:bidi="pl-PL"/>
              </w:rPr>
              <w:t>.</w:t>
            </w:r>
          </w:p>
          <w:p w14:paraId="71E61E1B" w14:textId="77777777" w:rsidR="00C72936" w:rsidRDefault="00C72936" w:rsidP="00C72936">
            <w:pPr>
              <w:rPr>
                <w:rFonts w:eastAsia="Cambria"/>
                <w:lang w:val="pl-PL" w:bidi="pl-PL"/>
              </w:rPr>
            </w:pPr>
            <w:r w:rsidRPr="00C72936">
              <w:rPr>
                <w:rFonts w:eastAsia="Cambria"/>
                <w:lang w:val="pl-PL" w:bidi="pl-PL"/>
              </w:rPr>
              <w:t>Pomoc może mieć charakter inwestycyjny (pomoc inwestycyjna), tj. budowa lub rekonstrukcja i</w:t>
            </w:r>
            <w:r>
              <w:rPr>
                <w:rFonts w:eastAsia="Cambria"/>
                <w:lang w:val="pl-PL" w:bidi="pl-PL"/>
              </w:rPr>
              <w:t xml:space="preserve"> </w:t>
            </w:r>
            <w:r w:rsidRPr="00C72936">
              <w:rPr>
                <w:rFonts w:eastAsia="Cambria"/>
                <w:lang w:val="pl-PL" w:bidi="pl-PL"/>
              </w:rPr>
              <w:t>odnowa dziedzictwa przyrodniczego i kulturowego, lub charakter operacyjny</w:t>
            </w:r>
            <w:r>
              <w:rPr>
                <w:rFonts w:eastAsia="Cambria"/>
                <w:lang w:val="pl-PL" w:bidi="pl-PL"/>
              </w:rPr>
              <w:t>.</w:t>
            </w:r>
          </w:p>
          <w:p w14:paraId="299B48B4" w14:textId="77777777" w:rsidR="00C72936" w:rsidRDefault="00C72936" w:rsidP="00C72936">
            <w:pPr>
              <w:rPr>
                <w:rFonts w:eastAsia="Cambria"/>
                <w:lang w:val="pl-PL" w:bidi="pl-PL"/>
              </w:rPr>
            </w:pPr>
          </w:p>
          <w:p w14:paraId="033A8AD4" w14:textId="77777777" w:rsidR="00BE4A1A" w:rsidRDefault="00BE4A1A" w:rsidP="00611CB4">
            <w:pPr>
              <w:rPr>
                <w:rFonts w:eastAsia="Cambria"/>
                <w:u w:val="single"/>
                <w:lang w:val="pl-PL" w:bidi="pl-PL"/>
              </w:rPr>
            </w:pPr>
          </w:p>
          <w:p w14:paraId="4B5CE088" w14:textId="77777777" w:rsidR="00BE4A1A" w:rsidRDefault="00BE4A1A" w:rsidP="00611CB4">
            <w:pPr>
              <w:rPr>
                <w:rFonts w:eastAsia="Cambria"/>
                <w:u w:val="single"/>
                <w:lang w:val="pl-PL" w:bidi="pl-PL"/>
              </w:rPr>
            </w:pPr>
          </w:p>
          <w:p w14:paraId="66F60EFE" w14:textId="77EC9D56" w:rsidR="00C72936" w:rsidRPr="00611CB4" w:rsidRDefault="00611CB4" w:rsidP="00611CB4">
            <w:pPr>
              <w:rPr>
                <w:rFonts w:eastAsia="Cambria"/>
                <w:u w:val="single"/>
                <w:lang w:val="pl-PL" w:bidi="pl-PL"/>
              </w:rPr>
            </w:pPr>
            <w:r w:rsidRPr="00611CB4">
              <w:rPr>
                <w:rFonts w:eastAsia="Cambria"/>
                <w:u w:val="single"/>
                <w:lang w:val="pl-PL" w:bidi="pl-PL"/>
              </w:rPr>
              <w:t>W przypadku pomocy inwestycyjnej za koszty kwalifikowalne uznaje się koszty inwestycji w rzeczowe aktywa trwałe i wartości niematerialne i prawne, w tym:</w:t>
            </w:r>
          </w:p>
          <w:p w14:paraId="6761B8BA" w14:textId="77777777" w:rsidR="00611CB4" w:rsidRDefault="00611CB4" w:rsidP="00611CB4">
            <w:pPr>
              <w:rPr>
                <w:rFonts w:eastAsia="Cambria"/>
                <w:lang w:val="pl-PL" w:bidi="pl-PL"/>
              </w:rPr>
            </w:pPr>
          </w:p>
          <w:p w14:paraId="1E62159A" w14:textId="0C05F3F0" w:rsidR="00611CB4" w:rsidRDefault="00611CB4" w:rsidP="00611CB4">
            <w:pPr>
              <w:numPr>
                <w:ilvl w:val="0"/>
                <w:numId w:val="44"/>
              </w:numPr>
              <w:rPr>
                <w:rFonts w:eastAsia="Cambria"/>
                <w:lang w:val="pl-PL" w:bidi="pl-PL"/>
              </w:rPr>
            </w:pPr>
            <w:r w:rsidRPr="00611CB4">
              <w:rPr>
                <w:rFonts w:eastAsia="Cambria"/>
                <w:lang w:val="pl-PL" w:bidi="pl-PL"/>
              </w:rPr>
              <w:t>koszty budowy, modernizacji, nabycia, konserwacji lub poprawy infrastruktury, jeżeli w skali</w:t>
            </w:r>
            <w:r>
              <w:rPr>
                <w:rFonts w:eastAsia="Cambria"/>
                <w:lang w:val="pl-PL" w:bidi="pl-PL"/>
              </w:rPr>
              <w:t xml:space="preserve"> </w:t>
            </w:r>
            <w:r w:rsidRPr="00611CB4">
              <w:rPr>
                <w:rFonts w:eastAsia="Cambria"/>
                <w:lang w:val="pl-PL" w:bidi="pl-PL"/>
              </w:rPr>
              <w:t>roku przynajmniej 80 % czasu lub przestrzeni tej infrastruktury jest wykorzystywane do celów</w:t>
            </w:r>
            <w:r>
              <w:rPr>
                <w:rFonts w:eastAsia="Cambria"/>
                <w:lang w:val="pl-PL" w:bidi="pl-PL"/>
              </w:rPr>
              <w:t xml:space="preserve"> </w:t>
            </w:r>
            <w:r w:rsidRPr="00611CB4">
              <w:rPr>
                <w:rFonts w:eastAsia="Cambria"/>
                <w:lang w:val="pl-PL" w:bidi="pl-PL"/>
              </w:rPr>
              <w:t>związanych z kulturą;</w:t>
            </w:r>
          </w:p>
          <w:p w14:paraId="55512D61" w14:textId="1ACEAC2E" w:rsidR="00611CB4" w:rsidRDefault="00611CB4" w:rsidP="00611CB4">
            <w:pPr>
              <w:numPr>
                <w:ilvl w:val="0"/>
                <w:numId w:val="44"/>
              </w:numPr>
              <w:rPr>
                <w:rFonts w:eastAsia="Cambria"/>
                <w:lang w:val="pl-PL" w:bidi="pl-PL"/>
              </w:rPr>
            </w:pPr>
            <w:r w:rsidRPr="00611CB4">
              <w:rPr>
                <w:rFonts w:eastAsia="Cambria"/>
                <w:lang w:val="pl-PL" w:bidi="pl-PL"/>
              </w:rPr>
              <w:t>koszty nabycia, w tym leasingu, przekazania własności lub fizycznej relokacji dziedzictwa</w:t>
            </w:r>
            <w:r>
              <w:rPr>
                <w:rFonts w:eastAsia="Cambria"/>
                <w:lang w:val="pl-PL" w:bidi="pl-PL"/>
              </w:rPr>
              <w:t xml:space="preserve"> </w:t>
            </w:r>
            <w:r w:rsidRPr="00611CB4">
              <w:rPr>
                <w:rFonts w:eastAsia="Cambria"/>
                <w:lang w:val="pl-PL" w:bidi="pl-PL"/>
              </w:rPr>
              <w:t>kulturowego;</w:t>
            </w:r>
          </w:p>
          <w:p w14:paraId="517E8A87" w14:textId="7643F03B" w:rsidR="00611CB4" w:rsidRDefault="00611CB4" w:rsidP="00611CB4">
            <w:pPr>
              <w:numPr>
                <w:ilvl w:val="0"/>
                <w:numId w:val="44"/>
              </w:numPr>
              <w:rPr>
                <w:rFonts w:eastAsia="Cambria"/>
                <w:lang w:val="pl-PL" w:bidi="pl-PL"/>
              </w:rPr>
            </w:pPr>
            <w:r w:rsidRPr="00611CB4">
              <w:rPr>
                <w:rFonts w:eastAsia="Cambria"/>
                <w:lang w:val="pl-PL" w:bidi="pl-PL"/>
              </w:rPr>
              <w:t>koszty zabezpieczenia, ochrony, renowacji i odnowy materialnych i niematerialnych zasobów</w:t>
            </w:r>
            <w:r>
              <w:rPr>
                <w:rFonts w:eastAsia="Cambria"/>
                <w:lang w:val="pl-PL" w:bidi="pl-PL"/>
              </w:rPr>
              <w:t xml:space="preserve"> </w:t>
            </w:r>
            <w:r w:rsidRPr="00611CB4">
              <w:rPr>
                <w:rFonts w:eastAsia="Cambria"/>
                <w:lang w:val="pl-PL" w:bidi="pl-PL"/>
              </w:rPr>
              <w:t>dziedzictwa kulturowego, w tym dodatkowe koszty przechowywania w odpowiednich</w:t>
            </w:r>
            <w:r>
              <w:rPr>
                <w:rFonts w:eastAsia="Cambria"/>
                <w:lang w:val="pl-PL" w:bidi="pl-PL"/>
              </w:rPr>
              <w:t xml:space="preserve"> </w:t>
            </w:r>
            <w:r w:rsidRPr="00611CB4">
              <w:rPr>
                <w:rFonts w:eastAsia="Cambria"/>
                <w:lang w:val="pl-PL" w:bidi="pl-PL"/>
              </w:rPr>
              <w:t>warunkach, specjalnych narzędzi, materiałów oraz koszty dokumentacji, badań, digitalizacji i</w:t>
            </w:r>
            <w:r>
              <w:rPr>
                <w:rFonts w:eastAsia="Cambria"/>
                <w:lang w:val="pl-PL" w:bidi="pl-PL"/>
              </w:rPr>
              <w:t xml:space="preserve"> </w:t>
            </w:r>
            <w:r w:rsidRPr="00611CB4">
              <w:rPr>
                <w:rFonts w:eastAsia="Cambria"/>
                <w:lang w:val="pl-PL" w:bidi="pl-PL"/>
              </w:rPr>
              <w:t>publikacji;</w:t>
            </w:r>
          </w:p>
          <w:p w14:paraId="448B5E45" w14:textId="7A6B8407" w:rsidR="00611CB4" w:rsidRDefault="00611CB4" w:rsidP="00611CB4">
            <w:pPr>
              <w:numPr>
                <w:ilvl w:val="0"/>
                <w:numId w:val="44"/>
              </w:numPr>
              <w:rPr>
                <w:rFonts w:eastAsia="Cambria"/>
                <w:lang w:val="pl-PL" w:bidi="pl-PL"/>
              </w:rPr>
            </w:pPr>
            <w:r w:rsidRPr="00611CB4">
              <w:rPr>
                <w:rFonts w:eastAsia="Cambria"/>
                <w:lang w:val="pl-PL" w:bidi="pl-PL"/>
              </w:rPr>
              <w:t>koszty poprawy dostępu do dziedzictwa kulturowego, w tym koszty digitalizacji i innych nowych</w:t>
            </w:r>
            <w:r>
              <w:rPr>
                <w:rFonts w:eastAsia="Cambria"/>
                <w:lang w:val="pl-PL" w:bidi="pl-PL"/>
              </w:rPr>
              <w:t xml:space="preserve"> </w:t>
            </w:r>
            <w:r w:rsidRPr="00611CB4">
              <w:rPr>
                <w:rFonts w:eastAsia="Cambria"/>
                <w:lang w:val="pl-PL" w:bidi="pl-PL"/>
              </w:rPr>
              <w:t>technologii, koszty poprawy dostępu dla osób o specjalnych potrzebach (w szczególności</w:t>
            </w:r>
            <w:r>
              <w:rPr>
                <w:rFonts w:eastAsia="Cambria"/>
                <w:lang w:val="pl-PL" w:bidi="pl-PL"/>
              </w:rPr>
              <w:t xml:space="preserve"> </w:t>
            </w:r>
            <w:r w:rsidRPr="00611CB4">
              <w:rPr>
                <w:rFonts w:eastAsia="Cambria"/>
                <w:lang w:val="pl-PL" w:bidi="pl-PL"/>
              </w:rPr>
              <w:t>rampy i windy dla niepełnosprawnych, objaśnienia w języku Braille’a i eksponaty dotykowe w</w:t>
            </w:r>
            <w:r>
              <w:rPr>
                <w:rFonts w:eastAsia="Cambria"/>
                <w:lang w:val="pl-PL" w:bidi="pl-PL"/>
              </w:rPr>
              <w:t xml:space="preserve"> </w:t>
            </w:r>
            <w:r w:rsidRPr="00611CB4">
              <w:rPr>
                <w:rFonts w:eastAsia="Cambria"/>
                <w:lang w:val="pl-PL" w:bidi="pl-PL"/>
              </w:rPr>
              <w:t>muzeach) oraz promowania różnorodności kulturowej w odniesieniu do prezentacji, programów</w:t>
            </w:r>
            <w:r>
              <w:rPr>
                <w:rFonts w:eastAsia="Cambria"/>
                <w:lang w:val="pl-PL" w:bidi="pl-PL"/>
              </w:rPr>
              <w:t xml:space="preserve"> </w:t>
            </w:r>
            <w:r w:rsidRPr="00611CB4">
              <w:rPr>
                <w:rFonts w:eastAsia="Cambria"/>
                <w:lang w:val="pl-PL" w:bidi="pl-PL"/>
              </w:rPr>
              <w:t>i odwiedzających;</w:t>
            </w:r>
          </w:p>
          <w:p w14:paraId="7E410445" w14:textId="546F0BB9" w:rsidR="00611CB4" w:rsidRDefault="00611CB4" w:rsidP="00611CB4">
            <w:pPr>
              <w:numPr>
                <w:ilvl w:val="0"/>
                <w:numId w:val="44"/>
              </w:numPr>
              <w:rPr>
                <w:rFonts w:eastAsia="Cambria"/>
                <w:lang w:val="pl-PL" w:bidi="pl-PL"/>
              </w:rPr>
            </w:pPr>
            <w:r w:rsidRPr="00611CB4">
              <w:rPr>
                <w:rFonts w:eastAsia="Cambria"/>
                <w:lang w:val="pl-PL" w:bidi="pl-PL"/>
              </w:rPr>
              <w:t>koszty projektów i działań kulturalnych, programów współpracy i wymiany oraz dotacje, w tym</w:t>
            </w:r>
            <w:r>
              <w:rPr>
                <w:rFonts w:eastAsia="Cambria"/>
                <w:lang w:val="pl-PL" w:bidi="pl-PL"/>
              </w:rPr>
              <w:t xml:space="preserve"> </w:t>
            </w:r>
            <w:r w:rsidRPr="00611CB4">
              <w:rPr>
                <w:rFonts w:eastAsia="Cambria"/>
                <w:lang w:val="pl-PL" w:bidi="pl-PL"/>
              </w:rPr>
              <w:t>koszty procedur wyboru, promocji oraz koszty ponoszone bezpośrednio w wyniku projektu;</w:t>
            </w:r>
          </w:p>
          <w:p w14:paraId="7D48215C" w14:textId="77777777" w:rsidR="00611CB4" w:rsidRDefault="00611CB4" w:rsidP="00611CB4">
            <w:pPr>
              <w:rPr>
                <w:rFonts w:eastAsia="Cambria"/>
                <w:lang w:val="pl-PL" w:bidi="pl-PL"/>
              </w:rPr>
            </w:pPr>
          </w:p>
          <w:p w14:paraId="29F42277" w14:textId="77777777" w:rsidR="00611CB4" w:rsidRDefault="00611CB4" w:rsidP="00611CB4">
            <w:pPr>
              <w:rPr>
                <w:rFonts w:eastAsia="Cambria"/>
                <w:lang w:val="pl-PL" w:bidi="pl-PL"/>
              </w:rPr>
            </w:pPr>
          </w:p>
          <w:p w14:paraId="0295C7DE" w14:textId="77777777" w:rsidR="00C72936" w:rsidRDefault="00C72936" w:rsidP="00C72936">
            <w:pPr>
              <w:rPr>
                <w:rFonts w:eastAsia="Cambria"/>
                <w:lang w:val="pl-PL" w:bidi="pl-PL"/>
              </w:rPr>
            </w:pPr>
          </w:p>
          <w:p w14:paraId="250EEDAA" w14:textId="77777777" w:rsidR="00C72936" w:rsidRPr="00611CB4" w:rsidRDefault="00611CB4" w:rsidP="00C72936">
            <w:pPr>
              <w:rPr>
                <w:rFonts w:eastAsia="Cambria"/>
                <w:u w:val="single"/>
                <w:lang w:val="pl-PL" w:bidi="pl-PL"/>
              </w:rPr>
            </w:pPr>
            <w:r w:rsidRPr="00611CB4">
              <w:rPr>
                <w:rFonts w:eastAsia="Cambria"/>
                <w:u w:val="single"/>
                <w:lang w:val="pl-PL" w:bidi="pl-PL"/>
              </w:rPr>
              <w:t>W przypadku pomocy operacyjnej za koszty kwalifikowalne uznaje się:</w:t>
            </w:r>
          </w:p>
          <w:p w14:paraId="1686789D" w14:textId="77777777" w:rsidR="00611CB4" w:rsidRDefault="00611CB4" w:rsidP="00C72936">
            <w:pPr>
              <w:rPr>
                <w:rFonts w:eastAsia="Cambria"/>
                <w:lang w:val="pl-PL" w:bidi="pl-PL"/>
              </w:rPr>
            </w:pPr>
          </w:p>
          <w:p w14:paraId="3C7D7BC9" w14:textId="77777777" w:rsidR="00611CB4" w:rsidRDefault="00611CB4" w:rsidP="00611CB4">
            <w:pPr>
              <w:numPr>
                <w:ilvl w:val="0"/>
                <w:numId w:val="46"/>
              </w:numPr>
              <w:rPr>
                <w:rFonts w:eastAsia="Cambria"/>
                <w:lang w:val="pl-PL" w:bidi="pl-PL"/>
              </w:rPr>
            </w:pPr>
            <w:r w:rsidRPr="00611CB4">
              <w:rPr>
                <w:rFonts w:eastAsia="Cambria"/>
                <w:lang w:val="pl-PL" w:bidi="pl-PL"/>
              </w:rPr>
              <w:t>koszty instytucji kulturalnej lub obiektu dziedzictwa kulturowego związane z ciągłymi lub</w:t>
            </w:r>
            <w:r>
              <w:rPr>
                <w:rFonts w:eastAsia="Cambria"/>
                <w:lang w:val="pl-PL" w:bidi="pl-PL"/>
              </w:rPr>
              <w:t xml:space="preserve"> </w:t>
            </w:r>
            <w:r w:rsidRPr="00611CB4">
              <w:rPr>
                <w:rFonts w:eastAsia="Cambria"/>
                <w:lang w:val="pl-PL" w:bidi="pl-PL"/>
              </w:rPr>
              <w:t>okresowymi działaniami, takimi jak wystawy, spektakle i wydarzenia oraz podobne działania</w:t>
            </w:r>
            <w:r>
              <w:rPr>
                <w:rFonts w:eastAsia="Cambria"/>
                <w:lang w:val="pl-PL" w:bidi="pl-PL"/>
              </w:rPr>
              <w:t xml:space="preserve"> </w:t>
            </w:r>
            <w:r w:rsidRPr="00611CB4">
              <w:rPr>
                <w:rFonts w:eastAsia="Cambria"/>
                <w:lang w:val="pl-PL" w:bidi="pl-PL"/>
              </w:rPr>
              <w:t>kulturalne mające miejsce w ramach podstawowej działalności gospodarczej;</w:t>
            </w:r>
          </w:p>
          <w:p w14:paraId="7A0E0055" w14:textId="77777777" w:rsidR="00611CB4" w:rsidRDefault="00611CB4" w:rsidP="00611CB4">
            <w:pPr>
              <w:numPr>
                <w:ilvl w:val="0"/>
                <w:numId w:val="46"/>
              </w:numPr>
              <w:rPr>
                <w:rFonts w:eastAsia="Cambria"/>
                <w:lang w:val="pl-PL" w:bidi="pl-PL"/>
              </w:rPr>
            </w:pPr>
            <w:r w:rsidRPr="00611CB4">
              <w:rPr>
                <w:rFonts w:eastAsia="Cambria"/>
                <w:lang w:val="pl-PL" w:bidi="pl-PL"/>
              </w:rPr>
              <w:t>koszty edukacji kulturalnej i artystycznej, jak również koszty promowania lepszego zrozumienia</w:t>
            </w:r>
            <w:r>
              <w:rPr>
                <w:rFonts w:eastAsia="Cambria"/>
                <w:lang w:val="pl-PL" w:bidi="pl-PL"/>
              </w:rPr>
              <w:t xml:space="preserve"> </w:t>
            </w:r>
            <w:r w:rsidRPr="00611CB4">
              <w:rPr>
                <w:rFonts w:eastAsia="Cambria"/>
                <w:lang w:val="pl-PL" w:bidi="pl-PL"/>
              </w:rPr>
              <w:t>znaczenia ochrony i propagowania różnorodnych form wyrazu kulturowego za pośrednictwem</w:t>
            </w:r>
            <w:r>
              <w:rPr>
                <w:rFonts w:eastAsia="Cambria"/>
                <w:lang w:val="pl-PL" w:bidi="pl-PL"/>
              </w:rPr>
              <w:t xml:space="preserve"> </w:t>
            </w:r>
            <w:r w:rsidRPr="00611CB4">
              <w:rPr>
                <w:rFonts w:eastAsia="Cambria"/>
                <w:lang w:val="pl-PL" w:bidi="pl-PL"/>
              </w:rPr>
              <w:t>programów edukacyjnych oraz programów zwiększających świadomość społeczeństwa, m.in.</w:t>
            </w:r>
            <w:r>
              <w:rPr>
                <w:rFonts w:eastAsia="Cambria"/>
                <w:lang w:val="pl-PL" w:bidi="pl-PL"/>
              </w:rPr>
              <w:t xml:space="preserve"> </w:t>
            </w:r>
            <w:r w:rsidRPr="00611CB4">
              <w:rPr>
                <w:rFonts w:eastAsia="Cambria"/>
                <w:lang w:val="pl-PL" w:bidi="pl-PL"/>
              </w:rPr>
              <w:t>przy zastosowaniu nowych technologii;</w:t>
            </w:r>
          </w:p>
          <w:p w14:paraId="187F4EAE" w14:textId="77777777" w:rsidR="00611CB4" w:rsidRDefault="00611CB4" w:rsidP="00611CB4">
            <w:pPr>
              <w:numPr>
                <w:ilvl w:val="0"/>
                <w:numId w:val="46"/>
              </w:numPr>
              <w:rPr>
                <w:rFonts w:eastAsia="Cambria"/>
                <w:lang w:val="pl-PL" w:bidi="pl-PL"/>
              </w:rPr>
            </w:pPr>
            <w:r w:rsidRPr="00611CB4">
              <w:rPr>
                <w:rFonts w:eastAsia="Cambria"/>
                <w:lang w:val="pl-PL" w:bidi="pl-PL"/>
              </w:rPr>
              <w:t>koszty poprawy dostępu społeczeństwa do instytucji kultury lub obiektów dziedzictwa</w:t>
            </w:r>
            <w:r>
              <w:rPr>
                <w:rFonts w:eastAsia="Cambria"/>
                <w:lang w:val="pl-PL" w:bidi="pl-PL"/>
              </w:rPr>
              <w:t xml:space="preserve"> </w:t>
            </w:r>
            <w:r w:rsidRPr="00611CB4">
              <w:rPr>
                <w:rFonts w:eastAsia="Cambria"/>
                <w:lang w:val="pl-PL" w:bidi="pl-PL"/>
              </w:rPr>
              <w:t>kulturowego i działań, w tym koszty digitalizacji i stosowania nowych technologii, a także koszty</w:t>
            </w:r>
            <w:r>
              <w:rPr>
                <w:rFonts w:eastAsia="Cambria"/>
                <w:lang w:val="pl-PL" w:bidi="pl-PL"/>
              </w:rPr>
              <w:t xml:space="preserve"> </w:t>
            </w:r>
            <w:r w:rsidRPr="00611CB4">
              <w:rPr>
                <w:rFonts w:eastAsia="Cambria"/>
                <w:lang w:val="pl-PL" w:bidi="pl-PL"/>
              </w:rPr>
              <w:t>poprawy dostępności dla osób niepełnosprawnych;</w:t>
            </w:r>
          </w:p>
          <w:p w14:paraId="266F903F" w14:textId="77777777" w:rsidR="00611CB4" w:rsidRDefault="00611CB4" w:rsidP="00611CB4">
            <w:pPr>
              <w:numPr>
                <w:ilvl w:val="0"/>
                <w:numId w:val="46"/>
              </w:numPr>
              <w:rPr>
                <w:rFonts w:eastAsia="Cambria"/>
                <w:lang w:val="pl-PL" w:bidi="pl-PL"/>
              </w:rPr>
            </w:pPr>
            <w:r w:rsidRPr="00611CB4">
              <w:rPr>
                <w:rFonts w:eastAsia="Cambria"/>
                <w:lang w:val="pl-PL" w:bidi="pl-PL"/>
              </w:rPr>
              <w:t>koszty operacyjne bezpośrednio związane z projektem lub działaniem kulturalnym, np.</w:t>
            </w:r>
            <w:r>
              <w:rPr>
                <w:rFonts w:eastAsia="Cambria"/>
                <w:lang w:val="pl-PL" w:bidi="pl-PL"/>
              </w:rPr>
              <w:t xml:space="preserve"> </w:t>
            </w:r>
            <w:r w:rsidRPr="00611CB4">
              <w:rPr>
                <w:rFonts w:eastAsia="Cambria"/>
                <w:lang w:val="pl-PL" w:bidi="pl-PL"/>
              </w:rPr>
              <w:t>wynajem lub dzierżawa nieruchomości lub obiektów kulturalnych, koszty podróży i materiałów</w:t>
            </w:r>
            <w:r>
              <w:rPr>
                <w:rFonts w:eastAsia="Cambria"/>
                <w:lang w:val="pl-PL" w:bidi="pl-PL"/>
              </w:rPr>
              <w:t xml:space="preserve"> </w:t>
            </w:r>
            <w:r w:rsidRPr="00611CB4">
              <w:rPr>
                <w:rFonts w:eastAsia="Cambria"/>
                <w:lang w:val="pl-PL" w:bidi="pl-PL"/>
              </w:rPr>
              <w:t>bezpośrednio związanych z projektem lub działaniem kulturalnym, koszty struktur</w:t>
            </w:r>
            <w:r>
              <w:rPr>
                <w:rFonts w:eastAsia="Cambria"/>
                <w:lang w:val="pl-PL" w:bidi="pl-PL"/>
              </w:rPr>
              <w:t xml:space="preserve"> </w:t>
            </w:r>
            <w:r w:rsidRPr="00611CB4">
              <w:rPr>
                <w:rFonts w:eastAsia="Cambria"/>
                <w:lang w:val="pl-PL" w:bidi="pl-PL"/>
              </w:rPr>
              <w:t>architektonicznych na potrzeby wystaw i dekoracji scenicznych, wypożyczenie, dzierżawa i</w:t>
            </w:r>
            <w:r>
              <w:rPr>
                <w:rFonts w:eastAsia="Cambria"/>
                <w:lang w:val="pl-PL" w:bidi="pl-PL"/>
              </w:rPr>
              <w:t xml:space="preserve"> </w:t>
            </w:r>
            <w:r w:rsidRPr="00611CB4">
              <w:rPr>
                <w:rFonts w:eastAsia="Cambria"/>
                <w:lang w:val="pl-PL" w:bidi="pl-PL"/>
              </w:rPr>
              <w:t>amortyzacja narzędzi, oprogramowania i sprzętu, koszty praw dostępu do utworów</w:t>
            </w:r>
            <w:r>
              <w:rPr>
                <w:rFonts w:eastAsia="Cambria"/>
                <w:lang w:val="pl-PL" w:bidi="pl-PL"/>
              </w:rPr>
              <w:t xml:space="preserve"> </w:t>
            </w:r>
            <w:r w:rsidRPr="00611CB4">
              <w:rPr>
                <w:rFonts w:eastAsia="Cambria"/>
                <w:lang w:val="pl-PL" w:bidi="pl-PL"/>
              </w:rPr>
              <w:t>chronionych prawem autorskim oraz innych powiązanych treści chronionych prawem własności</w:t>
            </w:r>
            <w:r>
              <w:rPr>
                <w:rFonts w:eastAsia="Cambria"/>
                <w:lang w:val="pl-PL" w:bidi="pl-PL"/>
              </w:rPr>
              <w:t xml:space="preserve"> </w:t>
            </w:r>
            <w:r w:rsidRPr="00611CB4">
              <w:rPr>
                <w:rFonts w:eastAsia="Cambria"/>
                <w:lang w:val="pl-PL" w:bidi="pl-PL"/>
              </w:rPr>
              <w:t>intelektualnej, koszty promocji oraz koszty ponoszone bezpośrednio w wyniku projektu lub</w:t>
            </w:r>
            <w:r>
              <w:rPr>
                <w:rFonts w:eastAsia="Cambria"/>
                <w:lang w:val="pl-PL" w:bidi="pl-PL"/>
              </w:rPr>
              <w:t xml:space="preserve"> </w:t>
            </w:r>
            <w:r w:rsidRPr="00611CB4">
              <w:rPr>
                <w:rFonts w:eastAsia="Cambria"/>
                <w:lang w:val="pl-PL" w:bidi="pl-PL"/>
              </w:rPr>
              <w:t>działalności; koszty amortyzacji i koszty finansowania są kwalifikowalne tylko wówczas, gdy nie</w:t>
            </w:r>
            <w:r>
              <w:rPr>
                <w:rFonts w:eastAsia="Cambria"/>
                <w:lang w:val="pl-PL" w:bidi="pl-PL"/>
              </w:rPr>
              <w:t xml:space="preserve"> </w:t>
            </w:r>
            <w:r w:rsidRPr="00611CB4">
              <w:rPr>
                <w:rFonts w:eastAsia="Cambria"/>
                <w:lang w:val="pl-PL" w:bidi="pl-PL"/>
              </w:rPr>
              <w:t>zostały objęte pomocą inwestycyjną;</w:t>
            </w:r>
          </w:p>
          <w:p w14:paraId="580ECD72" w14:textId="77777777" w:rsidR="00611CB4" w:rsidRDefault="00611CB4" w:rsidP="00611CB4">
            <w:pPr>
              <w:numPr>
                <w:ilvl w:val="0"/>
                <w:numId w:val="46"/>
              </w:numPr>
              <w:rPr>
                <w:rFonts w:eastAsia="Cambria"/>
                <w:lang w:val="pl-PL" w:bidi="pl-PL"/>
              </w:rPr>
            </w:pPr>
            <w:r w:rsidRPr="00611CB4">
              <w:rPr>
                <w:rFonts w:eastAsia="Cambria"/>
                <w:lang w:val="pl-PL" w:bidi="pl-PL"/>
              </w:rPr>
              <w:t>koszty personelu pracującego na rzecz instytucji kulturalnej lub obiektu dziedzictwa</w:t>
            </w:r>
            <w:r>
              <w:rPr>
                <w:rFonts w:eastAsia="Cambria"/>
                <w:lang w:val="pl-PL" w:bidi="pl-PL"/>
              </w:rPr>
              <w:t xml:space="preserve"> </w:t>
            </w:r>
            <w:r w:rsidRPr="00611CB4">
              <w:rPr>
                <w:rFonts w:eastAsia="Cambria"/>
                <w:lang w:val="pl-PL" w:bidi="pl-PL"/>
              </w:rPr>
              <w:t>kulturowego lub projektu;</w:t>
            </w:r>
          </w:p>
          <w:p w14:paraId="3DEAE247" w14:textId="77777777" w:rsidR="00611CB4" w:rsidRDefault="00611CB4" w:rsidP="00611CB4">
            <w:pPr>
              <w:numPr>
                <w:ilvl w:val="0"/>
                <w:numId w:val="46"/>
              </w:numPr>
              <w:rPr>
                <w:rFonts w:eastAsia="Cambria"/>
                <w:lang w:val="pl-PL" w:bidi="pl-PL"/>
              </w:rPr>
            </w:pPr>
            <w:r w:rsidRPr="00611CB4">
              <w:rPr>
                <w:rFonts w:eastAsia="Cambria"/>
                <w:lang w:val="pl-PL" w:bidi="pl-PL"/>
              </w:rPr>
              <w:t>koszty usług doradczych i wspierających świadczonych przez konsultantów zewnętrznych i</w:t>
            </w:r>
            <w:r>
              <w:rPr>
                <w:rFonts w:eastAsia="Cambria"/>
                <w:lang w:val="pl-PL" w:bidi="pl-PL"/>
              </w:rPr>
              <w:t xml:space="preserve"> </w:t>
            </w:r>
            <w:r w:rsidRPr="00611CB4">
              <w:rPr>
                <w:rFonts w:eastAsia="Cambria"/>
                <w:lang w:val="pl-PL" w:bidi="pl-PL"/>
              </w:rPr>
              <w:t>usługodawców, ponoszone bezpośrednio w wyniku projektu lub działalności.</w:t>
            </w:r>
          </w:p>
          <w:p w14:paraId="108FD569" w14:textId="77777777" w:rsidR="00611CB4" w:rsidRDefault="00611CB4" w:rsidP="00611CB4">
            <w:pPr>
              <w:rPr>
                <w:rFonts w:eastAsia="Cambria"/>
                <w:lang w:val="pl-PL" w:bidi="pl-PL"/>
              </w:rPr>
            </w:pPr>
          </w:p>
          <w:p w14:paraId="29BF55F5" w14:textId="77777777" w:rsidR="00611CB4" w:rsidRDefault="00611CB4" w:rsidP="00611CB4">
            <w:pPr>
              <w:rPr>
                <w:rFonts w:eastAsia="Cambria"/>
                <w:lang w:val="pl-PL" w:bidi="pl-PL"/>
              </w:rPr>
            </w:pPr>
            <w:r w:rsidRPr="00611CB4">
              <w:rPr>
                <w:rFonts w:eastAsia="Cambria"/>
                <w:lang w:val="pl-PL" w:bidi="pl-PL"/>
              </w:rPr>
              <w:t>W przypadku pomocy inwestycyjnej, wartość pomocy nie może przekroczyć wartości różnicy</w:t>
            </w:r>
            <w:r>
              <w:rPr>
                <w:rFonts w:eastAsia="Cambria"/>
                <w:lang w:val="pl-PL" w:bidi="pl-PL"/>
              </w:rPr>
              <w:t xml:space="preserve"> </w:t>
            </w:r>
            <w:r w:rsidRPr="00611CB4">
              <w:rPr>
                <w:rFonts w:eastAsia="Cambria"/>
                <w:lang w:val="pl-PL" w:bidi="pl-PL"/>
              </w:rPr>
              <w:t>pomiędzy kosztami kwalifikowalnymi a zyskiem operacyjnym z inwestycji. Zysk operacyjny5</w:t>
            </w:r>
            <w:r>
              <w:rPr>
                <w:rFonts w:eastAsia="Cambria"/>
                <w:lang w:val="pl-PL" w:bidi="pl-PL"/>
              </w:rPr>
              <w:t xml:space="preserve"> </w:t>
            </w:r>
            <w:r w:rsidRPr="00611CB4">
              <w:rPr>
                <w:rFonts w:eastAsia="Cambria"/>
                <w:lang w:val="pl-PL" w:bidi="pl-PL"/>
              </w:rPr>
              <w:t>odlicza się od kosztów kwalifikowalnych ex ante na podstawie rozsądnych prognoz lub przy użyciu</w:t>
            </w:r>
            <w:r>
              <w:rPr>
                <w:rFonts w:eastAsia="Cambria"/>
                <w:lang w:val="pl-PL" w:bidi="pl-PL"/>
              </w:rPr>
              <w:t xml:space="preserve"> </w:t>
            </w:r>
            <w:r w:rsidRPr="00611CB4">
              <w:rPr>
                <w:rFonts w:eastAsia="Cambria"/>
                <w:lang w:val="pl-PL" w:bidi="pl-PL"/>
              </w:rPr>
              <w:t>mechanizmu wycofania.</w:t>
            </w:r>
          </w:p>
          <w:p w14:paraId="3090EA17" w14:textId="77777777" w:rsidR="00611CB4" w:rsidRDefault="00611CB4" w:rsidP="00611CB4">
            <w:pPr>
              <w:rPr>
                <w:rFonts w:eastAsia="Cambria"/>
                <w:lang w:val="pl-PL" w:bidi="pl-PL"/>
              </w:rPr>
            </w:pPr>
            <w:r w:rsidRPr="00611CB4">
              <w:rPr>
                <w:rFonts w:eastAsia="Cambria"/>
                <w:lang w:val="pl-PL" w:bidi="pl-PL"/>
              </w:rPr>
              <w:t>Jeśli chodzi o pomoc operacyjną, wartość pomocy nie może przekroczyć kwoty niezbędnej</w:t>
            </w:r>
            <w:r>
              <w:rPr>
                <w:rFonts w:eastAsia="Cambria"/>
                <w:lang w:val="pl-PL" w:bidi="pl-PL"/>
              </w:rPr>
              <w:t xml:space="preserve"> </w:t>
            </w:r>
            <w:r w:rsidRPr="00611CB4">
              <w:rPr>
                <w:rFonts w:eastAsia="Cambria"/>
                <w:lang w:val="pl-PL" w:bidi="pl-PL"/>
              </w:rPr>
              <w:t>do pokrycia strat operacyjnych i rozsądnego zysku w adekwatnym okresie. Powyższe należy</w:t>
            </w:r>
            <w:r>
              <w:rPr>
                <w:rFonts w:eastAsia="Cambria"/>
                <w:lang w:val="pl-PL" w:bidi="pl-PL"/>
              </w:rPr>
              <w:t xml:space="preserve"> </w:t>
            </w:r>
            <w:r w:rsidRPr="00611CB4">
              <w:rPr>
                <w:rFonts w:eastAsia="Cambria"/>
                <w:lang w:val="pl-PL" w:bidi="pl-PL"/>
              </w:rPr>
              <w:t>zapewnić na zasadzie ex ante na podstawie rozsądnych prognoz lub też przy zastosowaniu</w:t>
            </w:r>
            <w:r>
              <w:rPr>
                <w:rFonts w:eastAsia="Cambria"/>
                <w:lang w:val="pl-PL" w:bidi="pl-PL"/>
              </w:rPr>
              <w:t xml:space="preserve"> </w:t>
            </w:r>
            <w:r w:rsidRPr="00611CB4">
              <w:rPr>
                <w:rFonts w:eastAsia="Cambria"/>
                <w:lang w:val="pl-PL" w:bidi="pl-PL"/>
              </w:rPr>
              <w:t>mechanizmu wycofania.</w:t>
            </w:r>
          </w:p>
          <w:p w14:paraId="50100B5E" w14:textId="77777777" w:rsidR="00611CB4" w:rsidRDefault="00611CB4" w:rsidP="00611CB4">
            <w:pPr>
              <w:rPr>
                <w:rFonts w:eastAsia="Cambria"/>
                <w:lang w:val="pl-PL" w:bidi="pl-PL"/>
              </w:rPr>
            </w:pPr>
            <w:r w:rsidRPr="00611CB4">
              <w:rPr>
                <w:rFonts w:eastAsia="Cambria"/>
                <w:lang w:val="pl-PL" w:bidi="pl-PL"/>
              </w:rPr>
              <w:t>Jeżeli będziemy mieć do czynienia z pomocą, która nie przekroczy 2 milionów EUR,</w:t>
            </w:r>
            <w:r>
              <w:rPr>
                <w:rFonts w:eastAsia="Cambria"/>
                <w:lang w:val="pl-PL" w:bidi="pl-PL"/>
              </w:rPr>
              <w:t xml:space="preserve"> </w:t>
            </w:r>
            <w:r w:rsidRPr="00611CB4">
              <w:rPr>
                <w:rFonts w:eastAsia="Cambria"/>
                <w:lang w:val="pl-PL" w:bidi="pl-PL"/>
              </w:rPr>
              <w:t>maksymalną wartość pomocy ustalić można również na poziomie 80% kosztów</w:t>
            </w:r>
            <w:r>
              <w:rPr>
                <w:rFonts w:eastAsia="Cambria"/>
                <w:lang w:val="pl-PL" w:bidi="pl-PL"/>
              </w:rPr>
              <w:t xml:space="preserve"> </w:t>
            </w:r>
            <w:r w:rsidRPr="00611CB4">
              <w:rPr>
                <w:rFonts w:eastAsia="Cambria"/>
                <w:lang w:val="pl-PL" w:bidi="pl-PL"/>
              </w:rPr>
              <w:t>kwalifikowalnych.</w:t>
            </w:r>
          </w:p>
          <w:p w14:paraId="60AE093B" w14:textId="77777777" w:rsidR="00611CB4" w:rsidRDefault="00611CB4" w:rsidP="00611CB4">
            <w:pPr>
              <w:rPr>
                <w:rFonts w:eastAsia="Cambria"/>
                <w:lang w:val="pl-PL" w:bidi="pl-PL"/>
              </w:rPr>
            </w:pPr>
          </w:p>
          <w:p w14:paraId="544DD06D" w14:textId="3EB0E346" w:rsidR="005417FA" w:rsidRPr="005417FA" w:rsidRDefault="005417FA" w:rsidP="00611CB4">
            <w:pPr>
              <w:rPr>
                <w:rFonts w:eastAsia="Cambria"/>
                <w:u w:val="single"/>
                <w:lang w:val="pl-PL" w:bidi="pl-PL"/>
              </w:rPr>
            </w:pPr>
            <w:r w:rsidRPr="005417FA">
              <w:rPr>
                <w:rFonts w:eastAsia="Cambria"/>
                <w:u w:val="single"/>
                <w:lang w:val="pl-PL" w:bidi="pl-PL"/>
              </w:rPr>
              <w:t>Pomoc na publikację muzyki i literatury</w:t>
            </w:r>
          </w:p>
          <w:p w14:paraId="5F28C311" w14:textId="6722003E" w:rsidR="00611CB4" w:rsidRPr="00C72936" w:rsidRDefault="00611CB4" w:rsidP="00611CB4">
            <w:pPr>
              <w:rPr>
                <w:rFonts w:eastAsia="Cambria"/>
                <w:lang w:val="pl-PL" w:bidi="pl-PL"/>
              </w:rPr>
            </w:pPr>
          </w:p>
        </w:tc>
      </w:tr>
      <w:tr w:rsidR="005417FA" w:rsidRPr="0013431E" w14:paraId="573A41CD" w14:textId="77777777" w:rsidTr="00E24D2A">
        <w:tc>
          <w:tcPr>
            <w:tcW w:w="6711" w:type="dxa"/>
          </w:tcPr>
          <w:p w14:paraId="64EE09A9" w14:textId="77777777" w:rsidR="005417FA" w:rsidRPr="005417FA" w:rsidRDefault="005417FA" w:rsidP="005417FA">
            <w:pPr>
              <w:spacing w:after="120"/>
              <w:rPr>
                <w:rFonts w:cs="Arial"/>
              </w:rPr>
            </w:pPr>
          </w:p>
        </w:tc>
        <w:tc>
          <w:tcPr>
            <w:tcW w:w="7509" w:type="dxa"/>
          </w:tcPr>
          <w:p w14:paraId="1AF57FF3" w14:textId="77777777" w:rsidR="005417FA" w:rsidRPr="005417FA" w:rsidRDefault="005417FA" w:rsidP="005417FA">
            <w:pPr>
              <w:spacing w:after="120"/>
              <w:rPr>
                <w:rFonts w:eastAsia="Calibri" w:cs="Arial"/>
                <w:bdr w:val="nil"/>
                <w:lang w:val="pl-PL" w:bidi="pl-PL"/>
              </w:rPr>
            </w:pPr>
          </w:p>
        </w:tc>
      </w:tr>
      <w:tr w:rsidR="00972D89" w:rsidRPr="0013431E" w14:paraId="6B79E032" w14:textId="77777777" w:rsidTr="006F170F">
        <w:trPr>
          <w:trHeight w:val="279"/>
        </w:trPr>
        <w:tc>
          <w:tcPr>
            <w:tcW w:w="6711" w:type="dxa"/>
          </w:tcPr>
          <w:p w14:paraId="0D1FEA25" w14:textId="06FD0535" w:rsidR="005417FA" w:rsidRDefault="005417FA" w:rsidP="006F170F">
            <w:pPr>
              <w:spacing w:after="120"/>
              <w:jc w:val="left"/>
              <w:rPr>
                <w:rFonts w:cs="Arial"/>
              </w:rPr>
            </w:pPr>
            <w:r w:rsidRPr="005417FA">
              <w:rPr>
                <w:rFonts w:cs="Arial"/>
              </w:rPr>
              <w:t>Pokud jde o vydávání hudby a literatury definované v čl. 53, odst. 2 písm. f) obecného nařízení o</w:t>
            </w:r>
            <w:r>
              <w:rPr>
                <w:rFonts w:cs="Arial"/>
              </w:rPr>
              <w:t xml:space="preserve"> </w:t>
            </w:r>
            <w:r w:rsidRPr="005417FA">
              <w:rPr>
                <w:rFonts w:cs="Arial"/>
              </w:rPr>
              <w:t>blokových výjimkách, maximální výše podpory nesmí přesáhnout buď rozdíl mezi způsobilými</w:t>
            </w:r>
            <w:r>
              <w:rPr>
                <w:rFonts w:cs="Arial"/>
              </w:rPr>
              <w:t xml:space="preserve"> </w:t>
            </w:r>
            <w:r w:rsidRPr="005417FA">
              <w:rPr>
                <w:rFonts w:cs="Arial"/>
              </w:rPr>
              <w:t xml:space="preserve">náklady a diskontovanými výnosy z projektu (do diskontovaných výnosů </w:t>
            </w:r>
            <w:r w:rsidRPr="005417FA">
              <w:rPr>
                <w:rFonts w:cs="Arial"/>
              </w:rPr>
              <w:lastRenderedPageBreak/>
              <w:t>se započítávají veškeré</w:t>
            </w:r>
            <w:r>
              <w:rPr>
                <w:rFonts w:cs="Arial"/>
              </w:rPr>
              <w:t xml:space="preserve"> </w:t>
            </w:r>
            <w:r w:rsidRPr="005417FA">
              <w:rPr>
                <w:rFonts w:cs="Arial"/>
              </w:rPr>
              <w:t>diskontované příjmy, tj. kromě provozních i jiné příjmy, např. finanční apod.), nebo 70 % způsobilých</w:t>
            </w:r>
            <w:r>
              <w:rPr>
                <w:rFonts w:cs="Arial"/>
              </w:rPr>
              <w:t xml:space="preserve"> </w:t>
            </w:r>
            <w:r w:rsidRPr="005417FA">
              <w:rPr>
                <w:rFonts w:cs="Arial"/>
              </w:rPr>
              <w:t>nákladů.</w:t>
            </w:r>
          </w:p>
          <w:p w14:paraId="1BCF3249" w14:textId="4EA704D2" w:rsidR="005417FA" w:rsidRDefault="005417FA" w:rsidP="006F170F">
            <w:pPr>
              <w:spacing w:after="120"/>
              <w:jc w:val="left"/>
              <w:rPr>
                <w:rFonts w:cs="Arial"/>
              </w:rPr>
            </w:pPr>
            <w:r w:rsidRPr="005417FA">
              <w:rPr>
                <w:rFonts w:cs="Arial"/>
              </w:rPr>
              <w:t>Od způsobilých nákladů se odečtou výnosy, a to buď předem na základě odůvodněných odhadů,</w:t>
            </w:r>
            <w:r>
              <w:rPr>
                <w:rFonts w:cs="Arial"/>
              </w:rPr>
              <w:t xml:space="preserve"> </w:t>
            </w:r>
            <w:r w:rsidRPr="005417FA">
              <w:rPr>
                <w:rFonts w:cs="Arial"/>
              </w:rPr>
              <w:t>nebo uplatněním mechanismu zpětného vymáhání podpory.</w:t>
            </w:r>
          </w:p>
          <w:p w14:paraId="110C3BE1" w14:textId="2222362F" w:rsidR="005417FA" w:rsidRDefault="005417FA" w:rsidP="006F170F">
            <w:pPr>
              <w:spacing w:after="120"/>
              <w:jc w:val="left"/>
              <w:rPr>
                <w:rFonts w:cs="Arial"/>
              </w:rPr>
            </w:pPr>
            <w:r w:rsidRPr="005417FA">
              <w:rPr>
                <w:rFonts w:cs="Arial"/>
              </w:rPr>
              <w:t>Způsobilými náklady jsou náklady na vydávání hudby a literatury, včetně autorských honorářů</w:t>
            </w:r>
            <w:r>
              <w:rPr>
                <w:rFonts w:cs="Arial"/>
              </w:rPr>
              <w:t xml:space="preserve"> </w:t>
            </w:r>
            <w:r w:rsidRPr="005417FA">
              <w:rPr>
                <w:rFonts w:cs="Arial"/>
              </w:rPr>
              <w:t>(náklady na autorská práva), honorářů překladatelů a editorů, dalších nákladů souvisejících s</w:t>
            </w:r>
            <w:r>
              <w:rPr>
                <w:rFonts w:cs="Arial"/>
              </w:rPr>
              <w:t xml:space="preserve"> </w:t>
            </w:r>
            <w:r w:rsidRPr="005417FA">
              <w:rPr>
                <w:rFonts w:cs="Arial"/>
              </w:rPr>
              <w:t>vydáním (korektura, oprava a revize), náklady na grafickou úpravu, náklady na předtiskovou přípravu</w:t>
            </w:r>
            <w:r>
              <w:rPr>
                <w:rFonts w:cs="Arial"/>
              </w:rPr>
              <w:t xml:space="preserve"> </w:t>
            </w:r>
            <w:r w:rsidRPr="005417FA">
              <w:rPr>
                <w:rFonts w:cs="Arial"/>
              </w:rPr>
              <w:t>a náklady na tisk nebo elektronickou publikaci.</w:t>
            </w:r>
          </w:p>
          <w:p w14:paraId="50BAA219" w14:textId="5295244B" w:rsidR="005417FA" w:rsidRDefault="005417FA" w:rsidP="006F170F">
            <w:pPr>
              <w:spacing w:after="120"/>
              <w:jc w:val="left"/>
              <w:rPr>
                <w:rFonts w:cs="Arial"/>
              </w:rPr>
            </w:pPr>
            <w:r w:rsidRPr="005417FA">
              <w:rPr>
                <w:rFonts w:cs="Arial"/>
              </w:rPr>
              <w:t>Přílohy, které se týkají čl. 53 GBER:</w:t>
            </w:r>
          </w:p>
          <w:p w14:paraId="087EC910" w14:textId="2AD0D88D" w:rsidR="006F170F" w:rsidRPr="006F170F" w:rsidRDefault="005417FA" w:rsidP="006F170F">
            <w:pPr>
              <w:numPr>
                <w:ilvl w:val="0"/>
                <w:numId w:val="47"/>
              </w:numPr>
              <w:spacing w:after="120"/>
              <w:jc w:val="left"/>
              <w:rPr>
                <w:rFonts w:cs="Arial"/>
              </w:rPr>
            </w:pPr>
            <w:r w:rsidRPr="005417FA">
              <w:rPr>
                <w:rFonts w:cs="Arial"/>
              </w:rPr>
              <w:t>Čestné prohlášení partnera v rámci blokové výjimky</w:t>
            </w:r>
          </w:p>
        </w:tc>
        <w:tc>
          <w:tcPr>
            <w:tcW w:w="7509" w:type="dxa"/>
          </w:tcPr>
          <w:p w14:paraId="370D232C" w14:textId="1250E7B2" w:rsidR="005417FA" w:rsidRDefault="005417FA" w:rsidP="006F170F">
            <w:pPr>
              <w:spacing w:after="120"/>
              <w:jc w:val="left"/>
              <w:rPr>
                <w:rFonts w:eastAsia="Calibri" w:cs="Arial"/>
                <w:bdr w:val="nil"/>
                <w:lang w:val="pl-PL" w:bidi="pl-PL"/>
              </w:rPr>
            </w:pPr>
            <w:r w:rsidRPr="005417FA">
              <w:rPr>
                <w:rFonts w:eastAsia="Calibri" w:cs="Arial"/>
                <w:bdr w:val="nil"/>
                <w:lang w:val="pl-PL" w:bidi="pl-PL"/>
              </w:rPr>
              <w:lastRenderedPageBreak/>
              <w:t>W przypadku publikowania muzyki i literatury, zgodnie z definicją w art. 53, ust. 2, lit. f)</w:t>
            </w:r>
            <w:r>
              <w:rPr>
                <w:rFonts w:eastAsia="Calibri" w:cs="Arial"/>
                <w:bdr w:val="nil"/>
                <w:lang w:val="pl-PL" w:bidi="pl-PL"/>
              </w:rPr>
              <w:t xml:space="preserve"> </w:t>
            </w:r>
            <w:r w:rsidRPr="005417FA">
              <w:rPr>
                <w:rFonts w:eastAsia="Calibri" w:cs="Arial"/>
                <w:bdr w:val="nil"/>
                <w:lang w:val="pl-PL" w:bidi="pl-PL"/>
              </w:rPr>
              <w:t>rozporządzenia ogólnego o wyłączeniach blokowych, maksymalna kwota pomocy nie przekracza ani</w:t>
            </w:r>
            <w:r>
              <w:rPr>
                <w:rFonts w:eastAsia="Calibri" w:cs="Arial"/>
                <w:bdr w:val="nil"/>
                <w:lang w:val="pl-PL" w:bidi="pl-PL"/>
              </w:rPr>
              <w:t xml:space="preserve"> </w:t>
            </w:r>
            <w:r w:rsidRPr="005417FA">
              <w:rPr>
                <w:rFonts w:eastAsia="Calibri" w:cs="Arial"/>
                <w:bdr w:val="nil"/>
                <w:lang w:val="pl-PL" w:bidi="pl-PL"/>
              </w:rPr>
              <w:lastRenderedPageBreak/>
              <w:t>różnicy między kosztami kwalifikowalnymi i zdyskontowanymi przychodami projektu ani 70 %</w:t>
            </w:r>
            <w:r>
              <w:rPr>
                <w:rFonts w:eastAsia="Calibri" w:cs="Arial"/>
                <w:bdr w:val="nil"/>
                <w:lang w:val="pl-PL" w:bidi="pl-PL"/>
              </w:rPr>
              <w:t xml:space="preserve"> </w:t>
            </w:r>
            <w:r w:rsidRPr="005417FA">
              <w:rPr>
                <w:rFonts w:eastAsia="Calibri" w:cs="Arial"/>
                <w:bdr w:val="nil"/>
                <w:lang w:val="pl-PL" w:bidi="pl-PL"/>
              </w:rPr>
              <w:t>kosztów kwalifikowalnych.</w:t>
            </w:r>
          </w:p>
          <w:p w14:paraId="5905480B" w14:textId="792EC4BC" w:rsidR="005417FA" w:rsidRDefault="005417FA" w:rsidP="006F170F">
            <w:pPr>
              <w:spacing w:after="120"/>
              <w:jc w:val="left"/>
              <w:rPr>
                <w:rFonts w:eastAsia="Calibri" w:cs="Arial"/>
                <w:bdr w:val="nil"/>
                <w:lang w:val="pl-PL" w:bidi="pl-PL"/>
              </w:rPr>
            </w:pPr>
            <w:r w:rsidRPr="005417FA">
              <w:rPr>
                <w:rFonts w:eastAsia="Calibri" w:cs="Arial"/>
                <w:bdr w:val="nil"/>
                <w:lang w:val="pl-PL" w:bidi="pl-PL"/>
              </w:rPr>
              <w:t>Przychody odlicza się od kosztów kwalifikowalnych na zasadzie ex ante albo przy użyciu</w:t>
            </w:r>
            <w:r>
              <w:rPr>
                <w:rFonts w:eastAsia="Calibri" w:cs="Arial"/>
                <w:bdr w:val="nil"/>
                <w:lang w:val="pl-PL" w:bidi="pl-PL"/>
              </w:rPr>
              <w:t xml:space="preserve"> </w:t>
            </w:r>
            <w:r w:rsidRPr="005417FA">
              <w:rPr>
                <w:rFonts w:eastAsia="Calibri" w:cs="Arial"/>
                <w:bdr w:val="nil"/>
                <w:lang w:val="pl-PL" w:bidi="pl-PL"/>
              </w:rPr>
              <w:t>mechanizmu wycofania.</w:t>
            </w:r>
          </w:p>
          <w:p w14:paraId="1D3344E7" w14:textId="6B792471" w:rsidR="005417FA" w:rsidRDefault="005417FA" w:rsidP="006F170F">
            <w:pPr>
              <w:spacing w:after="120"/>
              <w:jc w:val="left"/>
              <w:rPr>
                <w:rFonts w:eastAsia="Calibri" w:cs="Arial"/>
                <w:bdr w:val="nil"/>
                <w:lang w:val="pl-PL" w:bidi="pl-PL"/>
              </w:rPr>
            </w:pPr>
            <w:r w:rsidRPr="005417FA">
              <w:rPr>
                <w:rFonts w:eastAsia="Calibri" w:cs="Arial"/>
                <w:bdr w:val="nil"/>
                <w:lang w:val="pl-PL" w:bidi="pl-PL"/>
              </w:rPr>
              <w:t>Kosztami kwalifikowalnymi są koszty publikacji muzyki i literatury, w tym wynagrodzenie autorów</w:t>
            </w:r>
            <w:r>
              <w:rPr>
                <w:rFonts w:eastAsia="Calibri" w:cs="Arial"/>
                <w:bdr w:val="nil"/>
                <w:lang w:val="pl-PL" w:bidi="pl-PL"/>
              </w:rPr>
              <w:t xml:space="preserve"> </w:t>
            </w:r>
            <w:r w:rsidRPr="005417FA">
              <w:rPr>
                <w:rFonts w:eastAsia="Calibri" w:cs="Arial"/>
                <w:bdr w:val="nil"/>
                <w:lang w:val="pl-PL" w:bidi="pl-PL"/>
              </w:rPr>
              <w:t>(koszty praw autorskich), tłumaczy, wydawców, inne koszty redakcyjne (korekta tekstu, rewizja),</w:t>
            </w:r>
            <w:r>
              <w:rPr>
                <w:rFonts w:eastAsia="Calibri" w:cs="Arial"/>
                <w:bdr w:val="nil"/>
                <w:lang w:val="pl-PL" w:bidi="pl-PL"/>
              </w:rPr>
              <w:t xml:space="preserve"> </w:t>
            </w:r>
            <w:r w:rsidRPr="005417FA">
              <w:rPr>
                <w:rFonts w:eastAsia="Calibri" w:cs="Arial"/>
                <w:bdr w:val="nil"/>
                <w:lang w:val="pl-PL" w:bidi="pl-PL"/>
              </w:rPr>
              <w:t>koszty związane z opracowaniem układu tekstu i przygotowaniem do druku oraz koszty drukowania</w:t>
            </w:r>
            <w:r>
              <w:rPr>
                <w:rFonts w:eastAsia="Calibri" w:cs="Arial"/>
                <w:bdr w:val="nil"/>
                <w:lang w:val="pl-PL" w:bidi="pl-PL"/>
              </w:rPr>
              <w:t xml:space="preserve"> </w:t>
            </w:r>
            <w:r w:rsidRPr="005417FA">
              <w:rPr>
                <w:rFonts w:eastAsia="Calibri" w:cs="Arial"/>
                <w:bdr w:val="nil"/>
                <w:lang w:val="pl-PL" w:bidi="pl-PL"/>
              </w:rPr>
              <w:t>lub publikacji on-line.</w:t>
            </w:r>
          </w:p>
          <w:p w14:paraId="1324B1BE" w14:textId="1140EAA8" w:rsidR="005417FA" w:rsidRDefault="005417FA" w:rsidP="006F170F">
            <w:pPr>
              <w:spacing w:after="120"/>
              <w:jc w:val="left"/>
              <w:rPr>
                <w:rFonts w:eastAsia="Calibri" w:cs="Arial"/>
                <w:bdr w:val="nil"/>
                <w:lang w:val="pl-PL" w:bidi="pl-PL"/>
              </w:rPr>
            </w:pPr>
            <w:r w:rsidRPr="005417FA">
              <w:rPr>
                <w:rFonts w:eastAsia="Calibri" w:cs="Arial"/>
                <w:bdr w:val="nil"/>
                <w:lang w:val="pl-PL" w:bidi="pl-PL"/>
              </w:rPr>
              <w:t>Załączniki, które odnoszą się do art. 53 GBER:</w:t>
            </w:r>
          </w:p>
          <w:p w14:paraId="02F4269C" w14:textId="257796F2" w:rsidR="006F170F" w:rsidRPr="006F170F" w:rsidRDefault="005417FA" w:rsidP="006F170F">
            <w:pPr>
              <w:numPr>
                <w:ilvl w:val="0"/>
                <w:numId w:val="48"/>
              </w:numPr>
              <w:spacing w:after="120"/>
              <w:jc w:val="left"/>
              <w:rPr>
                <w:rFonts w:eastAsia="Calibri" w:cs="Arial"/>
                <w:bdr w:val="nil"/>
                <w:lang w:val="pl-PL" w:bidi="pl-PL"/>
              </w:rPr>
            </w:pPr>
            <w:r w:rsidRPr="005417FA">
              <w:rPr>
                <w:rFonts w:eastAsia="Calibri" w:cs="Arial"/>
                <w:bdr w:val="nil"/>
                <w:lang w:val="pl-PL" w:bidi="pl-PL"/>
              </w:rPr>
              <w:t>Oświadczenie partnera dotyczące pomocy w ramach wyłączenia blokowego</w:t>
            </w:r>
          </w:p>
        </w:tc>
      </w:tr>
    </w:tbl>
    <w:p w14:paraId="05E9D455" w14:textId="77777777" w:rsidR="00972D89" w:rsidRDefault="00972D89" w:rsidP="006F170F">
      <w:pPr>
        <w:spacing w:beforeLines="40" w:before="96" w:afterLines="40" w:after="96"/>
      </w:pPr>
    </w:p>
    <w:sectPr w:rsidR="00972D89" w:rsidSect="004579DA">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1417" w:bottom="1417" w:left="1417"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11636" w14:textId="77777777" w:rsidR="00003959" w:rsidRDefault="00003959" w:rsidP="00972D89">
      <w:pPr>
        <w:spacing w:before="0" w:after="0"/>
      </w:pPr>
      <w:r>
        <w:separator/>
      </w:r>
    </w:p>
  </w:endnote>
  <w:endnote w:type="continuationSeparator" w:id="0">
    <w:p w14:paraId="1E0376C0" w14:textId="77777777" w:rsidR="00003959" w:rsidRDefault="00003959" w:rsidP="00972D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6EF50" w14:textId="77777777" w:rsidR="0019400F" w:rsidRDefault="0019400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BA6F1" w14:textId="1C99E4C5" w:rsidR="00972D89" w:rsidRDefault="00BE4A1A" w:rsidP="004579DA">
    <w:pPr>
      <w:pStyle w:val="Stopka"/>
      <w:tabs>
        <w:tab w:val="clear" w:pos="4536"/>
        <w:tab w:val="clear" w:pos="9072"/>
        <w:tab w:val="left" w:pos="7499"/>
      </w:tabs>
      <w:jc w:val="left"/>
    </w:pPr>
    <w:r w:rsidRPr="00B9794D">
      <w:rPr>
        <w:noProof/>
        <w:lang w:val="pl-PL" w:eastAsia="pl-PL"/>
      </w:rPr>
      <w:drawing>
        <wp:inline distT="0" distB="0" distL="0" distR="0" wp14:anchorId="447A6670" wp14:editId="5B1A5774">
          <wp:extent cx="2232660" cy="556260"/>
          <wp:effectExtent l="0" t="0" r="0" b="0"/>
          <wp:docPr id="3" name="Obrázek 172884718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28847187"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556260"/>
                  </a:xfrm>
                  <a:prstGeom prst="rect">
                    <a:avLst/>
                  </a:prstGeom>
                  <a:noFill/>
                  <a:ln>
                    <a:noFill/>
                  </a:ln>
                </pic:spPr>
              </pic:pic>
            </a:graphicData>
          </a:graphic>
        </wp:inline>
      </w:drawing>
    </w:r>
    <w:r w:rsidR="004579DA">
      <w:rPr>
        <w:noProof/>
      </w:rPr>
      <w:t xml:space="preserve">                                                                       </w:t>
    </w:r>
    <w:r w:rsidRPr="00B9794D">
      <w:rPr>
        <w:noProof/>
        <w:lang w:val="pl-PL" w:eastAsia="pl-PL"/>
      </w:rPr>
      <w:drawing>
        <wp:inline distT="0" distB="0" distL="0" distR="0" wp14:anchorId="77688EE3" wp14:editId="48100207">
          <wp:extent cx="2415540" cy="556260"/>
          <wp:effectExtent l="0" t="0" r="0" b="0"/>
          <wp:docPr id="5" name="Obrázek 402567172" descr="Obsah obrázku text,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2567172" descr="Obsah obrázku text, snímek obrazovky&#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5540" cy="5562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FAF54" w14:textId="77777777" w:rsidR="0019400F" w:rsidRDefault="001940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35984" w14:textId="77777777" w:rsidR="00003959" w:rsidRPr="00791760" w:rsidRDefault="00003959" w:rsidP="00791760">
      <w:pPr>
        <w:pStyle w:val="Stopka"/>
      </w:pPr>
    </w:p>
  </w:footnote>
  <w:footnote w:type="continuationSeparator" w:id="0">
    <w:p w14:paraId="3EC06699" w14:textId="77777777" w:rsidR="00003959" w:rsidRDefault="00003959" w:rsidP="00972D89">
      <w:pPr>
        <w:spacing w:before="0" w:after="0"/>
      </w:pPr>
      <w:r>
        <w:continuationSeparator/>
      </w:r>
    </w:p>
  </w:footnote>
  <w:footnote w:id="1">
    <w:p w14:paraId="74BDD527" w14:textId="77777777" w:rsidR="00972D89" w:rsidRPr="0032651F" w:rsidRDefault="00972D89" w:rsidP="0032651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AAC91" w14:textId="77777777" w:rsidR="0019400F" w:rsidRDefault="0019400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E914C" w14:textId="72C12D9E" w:rsidR="00972D89" w:rsidRPr="004579DA" w:rsidRDefault="00972D89" w:rsidP="00972D89">
    <w:pPr>
      <w:pStyle w:val="Nagwek"/>
      <w:rPr>
        <w:b/>
      </w:rPr>
    </w:pPr>
    <w:r>
      <w:t xml:space="preserve">Fond </w:t>
    </w:r>
    <w:r w:rsidR="006F170F">
      <w:t>malých projektů</w:t>
    </w:r>
    <w:r>
      <w:t xml:space="preserve"> </w:t>
    </w:r>
    <w:r w:rsidRPr="00115541">
      <w:t xml:space="preserve">Euroregionu </w:t>
    </w:r>
    <w:r w:rsidR="009B6662">
      <w:t>Beski</w:t>
    </w:r>
    <w:bookmarkStart w:id="0" w:name="_GoBack"/>
    <w:bookmarkEnd w:id="0"/>
    <w:r>
      <w:t>dy</w:t>
    </w:r>
    <w:r w:rsidR="001749D8">
      <w:t>-cíl 4.2</w:t>
    </w:r>
    <w:r>
      <w:t xml:space="preserve">                                                                                 </w:t>
    </w:r>
    <w:r w:rsidR="00727368">
      <w:t xml:space="preserve">                                         </w:t>
    </w:r>
    <w:r w:rsidR="008A6BB6">
      <w:rPr>
        <w:rFonts w:cs="Arial"/>
      </w:rPr>
      <w:t>S</w:t>
    </w:r>
    <w:r w:rsidR="008A6BB6">
      <w:rPr>
        <w:rFonts w:cs="Calibri"/>
      </w:rPr>
      <w:t>měrnice</w:t>
    </w:r>
    <w:r w:rsidR="008A6BB6" w:rsidRPr="002808AC">
      <w:rPr>
        <w:rFonts w:cs="Calibri"/>
      </w:rPr>
      <w:t xml:space="preserve"> pro </w:t>
    </w:r>
    <w:r w:rsidR="008A6BB6">
      <w:rPr>
        <w:rFonts w:cs="Calibri"/>
      </w:rPr>
      <w:t>žadatele</w:t>
    </w:r>
    <w:r w:rsidR="008A6BB6" w:rsidRPr="002808AC">
      <w:rPr>
        <w:rFonts w:cs="Calibri"/>
      </w:rPr>
      <w:t xml:space="preserve">, verze 1 </w:t>
    </w:r>
    <w:r w:rsidR="008A6BB6" w:rsidRPr="002808AC">
      <w:rPr>
        <w:rFonts w:cs="Calibri"/>
        <w:lang w:val="pl-PL"/>
      </w:rPr>
      <w:t>/</w:t>
    </w:r>
    <w:r w:rsidR="008A6BB6">
      <w:rPr>
        <w:rFonts w:cs="Calibri"/>
        <w:lang w:val="pl-PL"/>
      </w:rPr>
      <w:t xml:space="preserve"> Wytyczne</w:t>
    </w:r>
    <w:r w:rsidR="008A6BB6" w:rsidRPr="002808AC">
      <w:rPr>
        <w:rFonts w:cs="Calibri"/>
        <w:lang w:val="pl-PL"/>
      </w:rPr>
      <w:t xml:space="preserve"> dla</w:t>
    </w:r>
    <w:r w:rsidR="008A6BB6">
      <w:rPr>
        <w:rFonts w:cs="Calibri"/>
        <w:lang w:val="pl-PL"/>
      </w:rPr>
      <w:t xml:space="preserve"> wnioskodawcy</w:t>
    </w:r>
    <w:r w:rsidR="008A6BB6" w:rsidRPr="002808AC">
      <w:rPr>
        <w:rFonts w:cs="Calibri"/>
        <w:lang w:val="pl-PL"/>
      </w:rPr>
      <w:t>, wersja 1</w:t>
    </w:r>
  </w:p>
  <w:p w14:paraId="1B18CC8E" w14:textId="45807943" w:rsidR="00972D89" w:rsidRDefault="00972D89" w:rsidP="00972D89">
    <w:pPr>
      <w:pStyle w:val="Nagwek"/>
    </w:pPr>
    <w:r>
      <w:t xml:space="preserve">Program INTERREG </w:t>
    </w:r>
    <w:r w:rsidR="006F170F">
      <w:t>Česko -</w:t>
    </w:r>
    <w:r>
      <w:t xml:space="preserve"> Polsko</w:t>
    </w:r>
    <w:r w:rsidR="00727368">
      <w:t xml:space="preserve">  </w:t>
    </w:r>
    <w:r w:rsidR="008A6BB6">
      <w:t>2021-2027</w:t>
    </w:r>
    <w:r w:rsidR="00727368">
      <w:t xml:space="preserve">                                                                                                                                                                          </w:t>
    </w:r>
    <w:r w:rsidR="008A6BB6">
      <w:t xml:space="preserve">                    </w:t>
    </w:r>
    <w:r w:rsidR="008A6BB6" w:rsidRPr="002808AC">
      <w:rPr>
        <w:rFonts w:cs="Calibri"/>
      </w:rPr>
      <w:t xml:space="preserve">Příloha </w:t>
    </w:r>
    <w:r w:rsidR="0019400F">
      <w:rPr>
        <w:rFonts w:cs="Calibri"/>
      </w:rPr>
      <w:t>č. 10</w:t>
    </w:r>
    <w:r w:rsidR="008A6BB6" w:rsidRPr="002808AC">
      <w:rPr>
        <w:rFonts w:cs="Calibri"/>
      </w:rPr>
      <w:t xml:space="preserve"> / </w:t>
    </w:r>
    <w:r w:rsidR="008A6BB6" w:rsidRPr="002808AC">
      <w:rPr>
        <w:rFonts w:cs="Calibri"/>
        <w:lang w:val="pl-PL"/>
      </w:rPr>
      <w:t>Załącznik</w:t>
    </w:r>
    <w:r w:rsidR="0019400F">
      <w:rPr>
        <w:rFonts w:cs="Calibri"/>
        <w:lang w:val="pl-PL"/>
      </w:rPr>
      <w:t xml:space="preserve"> nr 10</w:t>
    </w:r>
  </w:p>
  <w:p w14:paraId="216C230D" w14:textId="77777777" w:rsidR="00972D89" w:rsidRDefault="00972D8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E542" w14:textId="77777777" w:rsidR="0019400F" w:rsidRDefault="001940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DBB"/>
    <w:multiLevelType w:val="hybridMultilevel"/>
    <w:tmpl w:val="6784D2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E45DFC"/>
    <w:multiLevelType w:val="hybridMultilevel"/>
    <w:tmpl w:val="BF38783E"/>
    <w:lvl w:ilvl="0" w:tplc="85C4461C">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3DB1603"/>
    <w:multiLevelType w:val="hybridMultilevel"/>
    <w:tmpl w:val="71927F74"/>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645309D"/>
    <w:multiLevelType w:val="hybridMultilevel"/>
    <w:tmpl w:val="759A19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FD3778"/>
    <w:multiLevelType w:val="hybridMultilevel"/>
    <w:tmpl w:val="8A566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14637F"/>
    <w:multiLevelType w:val="hybridMultilevel"/>
    <w:tmpl w:val="1E922B7E"/>
    <w:lvl w:ilvl="0" w:tplc="DD102BC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F55F24"/>
    <w:multiLevelType w:val="hybridMultilevel"/>
    <w:tmpl w:val="AEBE39E4"/>
    <w:lvl w:ilvl="0" w:tplc="85C4461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00963FD"/>
    <w:multiLevelType w:val="hybridMultilevel"/>
    <w:tmpl w:val="3A6CD524"/>
    <w:lvl w:ilvl="0" w:tplc="7424F5FA">
      <w:start w:val="1"/>
      <w:numFmt w:val="bullet"/>
      <w:lvlText w:val=""/>
      <w:lvlJc w:val="left"/>
      <w:pPr>
        <w:ind w:left="720" w:hanging="360"/>
      </w:pPr>
      <w:rPr>
        <w:rFonts w:ascii="Symbol" w:hAnsi="Symbol" w:hint="default"/>
        <w:color w:val="C00000"/>
        <w:u w:color="C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206A93"/>
    <w:multiLevelType w:val="hybridMultilevel"/>
    <w:tmpl w:val="AC12B276"/>
    <w:lvl w:ilvl="0" w:tplc="9DC871C2">
      <w:start w:val="1"/>
      <w:numFmt w:val="bullet"/>
      <w:lvlText w:val="-"/>
      <w:lvlJc w:val="left"/>
      <w:pPr>
        <w:ind w:left="360" w:hanging="360"/>
      </w:pPr>
      <w:rPr>
        <w:rFonts w:ascii="Arial" w:hAnsi="Arial" w:hint="default"/>
        <w:u w:color="C00000"/>
      </w:rPr>
    </w:lvl>
    <w:lvl w:ilvl="1" w:tplc="04070003" w:tentative="1">
      <w:start w:val="1"/>
      <w:numFmt w:val="bullet"/>
      <w:lvlText w:val="o"/>
      <w:lvlJc w:val="left"/>
      <w:pPr>
        <w:ind w:left="1080" w:hanging="360"/>
      </w:pPr>
      <w:rPr>
        <w:rFonts w:ascii="Courier New" w:hAnsi="Courier New" w:cs="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4122D20"/>
    <w:multiLevelType w:val="hybridMultilevel"/>
    <w:tmpl w:val="AA866138"/>
    <w:lvl w:ilvl="0" w:tplc="B762A3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C324EF"/>
    <w:multiLevelType w:val="hybridMultilevel"/>
    <w:tmpl w:val="31E44168"/>
    <w:lvl w:ilvl="0" w:tplc="9DC871C2">
      <w:start w:val="1"/>
      <w:numFmt w:val="bullet"/>
      <w:lvlText w:val="-"/>
      <w:lvlJc w:val="left"/>
      <w:pPr>
        <w:ind w:left="2061"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2B40333"/>
    <w:multiLevelType w:val="hybridMultilevel"/>
    <w:tmpl w:val="B07E8970"/>
    <w:lvl w:ilvl="0" w:tplc="B6F8CA7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7B46F23"/>
    <w:multiLevelType w:val="hybridMultilevel"/>
    <w:tmpl w:val="DBD4D90C"/>
    <w:lvl w:ilvl="0" w:tplc="8F68FD3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42361F"/>
    <w:multiLevelType w:val="hybridMultilevel"/>
    <w:tmpl w:val="E234915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A941D6E"/>
    <w:multiLevelType w:val="hybridMultilevel"/>
    <w:tmpl w:val="58508720"/>
    <w:lvl w:ilvl="0" w:tplc="040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1317049"/>
    <w:multiLevelType w:val="hybridMultilevel"/>
    <w:tmpl w:val="F1C2359C"/>
    <w:lvl w:ilvl="0" w:tplc="C7F0C5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4E673F"/>
    <w:multiLevelType w:val="hybridMultilevel"/>
    <w:tmpl w:val="31B65E12"/>
    <w:lvl w:ilvl="0" w:tplc="8F68FD3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441F41"/>
    <w:multiLevelType w:val="hybridMultilevel"/>
    <w:tmpl w:val="4E8CDC02"/>
    <w:lvl w:ilvl="0" w:tplc="6CCE978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36EB1B3E"/>
    <w:multiLevelType w:val="hybridMultilevel"/>
    <w:tmpl w:val="D92C2E84"/>
    <w:lvl w:ilvl="0" w:tplc="A108550C">
      <w:start w:val="1"/>
      <w:numFmt w:val="decimal"/>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7B3A80"/>
    <w:multiLevelType w:val="hybridMultilevel"/>
    <w:tmpl w:val="F8CEAF04"/>
    <w:lvl w:ilvl="0" w:tplc="8F68FD3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0A3504"/>
    <w:multiLevelType w:val="hybridMultilevel"/>
    <w:tmpl w:val="4324248C"/>
    <w:lvl w:ilvl="0" w:tplc="8F68FD3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2D4428"/>
    <w:multiLevelType w:val="hybridMultilevel"/>
    <w:tmpl w:val="F13C41EC"/>
    <w:lvl w:ilvl="0" w:tplc="8F68FD3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985990"/>
    <w:multiLevelType w:val="hybridMultilevel"/>
    <w:tmpl w:val="87042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656FA8"/>
    <w:multiLevelType w:val="hybridMultilevel"/>
    <w:tmpl w:val="CD20FE8E"/>
    <w:lvl w:ilvl="0" w:tplc="310CFA80">
      <w:start w:val="2"/>
      <w:numFmt w:val="upperLetter"/>
      <w:pStyle w:val="Nadpis3polsk"/>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19660D"/>
    <w:multiLevelType w:val="hybridMultilevel"/>
    <w:tmpl w:val="FCEA4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2204BF"/>
    <w:multiLevelType w:val="hybridMultilevel"/>
    <w:tmpl w:val="6FB4E356"/>
    <w:lvl w:ilvl="0" w:tplc="16E844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752669C"/>
    <w:multiLevelType w:val="hybridMultilevel"/>
    <w:tmpl w:val="0B96D23A"/>
    <w:lvl w:ilvl="0" w:tplc="87F8AA54">
      <w:start w:val="1"/>
      <w:numFmt w:val="bullet"/>
      <w:lvlText w:val="-"/>
      <w:lvlJc w:val="left"/>
      <w:pPr>
        <w:ind w:left="720" w:hanging="360"/>
      </w:pPr>
      <w:rPr>
        <w:rFonts w:ascii="Arial" w:hAnsi="Arial" w:hint="default"/>
        <w:color w:val="auto"/>
        <w:u w:color="C0000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76F3B0D"/>
    <w:multiLevelType w:val="hybridMultilevel"/>
    <w:tmpl w:val="4180472E"/>
    <w:lvl w:ilvl="0" w:tplc="8F68FD3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C093F64"/>
    <w:multiLevelType w:val="hybridMultilevel"/>
    <w:tmpl w:val="B8A67158"/>
    <w:lvl w:ilvl="0" w:tplc="9DC871C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5D1B65"/>
    <w:multiLevelType w:val="hybridMultilevel"/>
    <w:tmpl w:val="4FF6E5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DA02BD"/>
    <w:multiLevelType w:val="hybridMultilevel"/>
    <w:tmpl w:val="6284FF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802C06"/>
    <w:multiLevelType w:val="hybridMultilevel"/>
    <w:tmpl w:val="3BF23E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1327DC"/>
    <w:multiLevelType w:val="hybridMultilevel"/>
    <w:tmpl w:val="BBBCC058"/>
    <w:lvl w:ilvl="0" w:tplc="7424F5FA">
      <w:start w:val="1"/>
      <w:numFmt w:val="bullet"/>
      <w:lvlText w:val=""/>
      <w:lvlJc w:val="left"/>
      <w:pPr>
        <w:ind w:left="720" w:hanging="360"/>
      </w:pPr>
      <w:rPr>
        <w:rFonts w:ascii="Symbol" w:hAnsi="Symbol" w:hint="default"/>
        <w:color w:val="C00000"/>
        <w:u w:color="C00000"/>
      </w:rPr>
    </w:lvl>
    <w:lvl w:ilvl="1" w:tplc="0405000F">
      <w:start w:val="1"/>
      <w:numFmt w:val="decimal"/>
      <w:lvlText w:val="%2."/>
      <w:lvlJc w:val="left"/>
      <w:pPr>
        <w:ind w:left="1440" w:hanging="360"/>
      </w:pPr>
      <w:rPr>
        <w:rFonts w:hint="default"/>
        <w:b/>
        <w:i w:val="0"/>
        <w:color w:val="C00000"/>
        <w:sz w:val="16"/>
        <w:u w:color="C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49A6337"/>
    <w:multiLevelType w:val="hybridMultilevel"/>
    <w:tmpl w:val="0AD2657E"/>
    <w:lvl w:ilvl="0" w:tplc="486CEB3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D978C9"/>
    <w:multiLevelType w:val="hybridMultilevel"/>
    <w:tmpl w:val="9F841892"/>
    <w:lvl w:ilvl="0" w:tplc="6AB4EFE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537498"/>
    <w:multiLevelType w:val="hybridMultilevel"/>
    <w:tmpl w:val="D2AE0BAA"/>
    <w:lvl w:ilvl="0" w:tplc="2F74D2C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6" w15:restartNumberingAfterBreak="0">
    <w:nsid w:val="5A815AB5"/>
    <w:multiLevelType w:val="hybridMultilevel"/>
    <w:tmpl w:val="19C4FA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7F0CF2"/>
    <w:multiLevelType w:val="hybridMultilevel"/>
    <w:tmpl w:val="BBB0FC40"/>
    <w:lvl w:ilvl="0" w:tplc="85C4461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605B4AEA"/>
    <w:multiLevelType w:val="hybridMultilevel"/>
    <w:tmpl w:val="2862873A"/>
    <w:lvl w:ilvl="0" w:tplc="D214CCD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4C35E4A"/>
    <w:multiLevelType w:val="hybridMultilevel"/>
    <w:tmpl w:val="34D07866"/>
    <w:lvl w:ilvl="0" w:tplc="7424F5FA">
      <w:start w:val="1"/>
      <w:numFmt w:val="bullet"/>
      <w:lvlText w:val=""/>
      <w:lvlJc w:val="left"/>
      <w:pPr>
        <w:ind w:left="720" w:hanging="360"/>
      </w:pPr>
      <w:rPr>
        <w:rFonts w:ascii="Symbol" w:hAnsi="Symbol" w:hint="default"/>
        <w:color w:val="C00000"/>
        <w:u w:color="C0000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59C6D92"/>
    <w:multiLevelType w:val="hybridMultilevel"/>
    <w:tmpl w:val="C0CA78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EF37C9"/>
    <w:multiLevelType w:val="hybridMultilevel"/>
    <w:tmpl w:val="C3BA3FC4"/>
    <w:lvl w:ilvl="0" w:tplc="7424F5FA">
      <w:start w:val="1"/>
      <w:numFmt w:val="bullet"/>
      <w:lvlText w:val=""/>
      <w:lvlJc w:val="left"/>
      <w:pPr>
        <w:ind w:left="720" w:hanging="360"/>
      </w:pPr>
      <w:rPr>
        <w:rFonts w:ascii="Symbol" w:hAnsi="Symbol" w:hint="default"/>
        <w:color w:val="C00000"/>
        <w:u w:color="C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B846998"/>
    <w:multiLevelType w:val="hybridMultilevel"/>
    <w:tmpl w:val="9460C798"/>
    <w:lvl w:ilvl="0" w:tplc="8F68FD3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D5B1741"/>
    <w:multiLevelType w:val="hybridMultilevel"/>
    <w:tmpl w:val="A9EAF2BE"/>
    <w:lvl w:ilvl="0" w:tplc="7424F5FA">
      <w:start w:val="1"/>
      <w:numFmt w:val="bullet"/>
      <w:lvlText w:val=""/>
      <w:lvlJc w:val="left"/>
      <w:pPr>
        <w:ind w:left="720" w:hanging="360"/>
      </w:pPr>
      <w:rPr>
        <w:rFonts w:ascii="Symbol" w:hAnsi="Symbol" w:hint="default"/>
        <w:color w:val="C00000"/>
        <w:u w:color="C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FCB044E"/>
    <w:multiLevelType w:val="hybridMultilevel"/>
    <w:tmpl w:val="E8325E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00959E1"/>
    <w:multiLevelType w:val="hybridMultilevel"/>
    <w:tmpl w:val="A0DA342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7423309E"/>
    <w:multiLevelType w:val="hybridMultilevel"/>
    <w:tmpl w:val="B22262FA"/>
    <w:lvl w:ilvl="0" w:tplc="8F68FD3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7461164"/>
    <w:multiLevelType w:val="hybridMultilevel"/>
    <w:tmpl w:val="FCEA43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23"/>
  </w:num>
  <w:num w:numId="3">
    <w:abstractNumId w:val="38"/>
  </w:num>
  <w:num w:numId="4">
    <w:abstractNumId w:val="25"/>
  </w:num>
  <w:num w:numId="5">
    <w:abstractNumId w:val="34"/>
  </w:num>
  <w:num w:numId="6">
    <w:abstractNumId w:val="4"/>
  </w:num>
  <w:num w:numId="7">
    <w:abstractNumId w:val="8"/>
  </w:num>
  <w:num w:numId="8">
    <w:abstractNumId w:val="39"/>
  </w:num>
  <w:num w:numId="9">
    <w:abstractNumId w:val="32"/>
  </w:num>
  <w:num w:numId="10">
    <w:abstractNumId w:val="26"/>
  </w:num>
  <w:num w:numId="11">
    <w:abstractNumId w:val="28"/>
  </w:num>
  <w:num w:numId="12">
    <w:abstractNumId w:val="43"/>
  </w:num>
  <w:num w:numId="13">
    <w:abstractNumId w:val="10"/>
  </w:num>
  <w:num w:numId="14">
    <w:abstractNumId w:val="41"/>
  </w:num>
  <w:num w:numId="15">
    <w:abstractNumId w:val="7"/>
  </w:num>
  <w:num w:numId="16">
    <w:abstractNumId w:val="40"/>
  </w:num>
  <w:num w:numId="17">
    <w:abstractNumId w:val="5"/>
  </w:num>
  <w:num w:numId="18">
    <w:abstractNumId w:val="13"/>
  </w:num>
  <w:num w:numId="19">
    <w:abstractNumId w:val="44"/>
  </w:num>
  <w:num w:numId="20">
    <w:abstractNumId w:val="11"/>
  </w:num>
  <w:num w:numId="21">
    <w:abstractNumId w:val="37"/>
  </w:num>
  <w:num w:numId="22">
    <w:abstractNumId w:val="18"/>
  </w:num>
  <w:num w:numId="23">
    <w:abstractNumId w:val="17"/>
  </w:num>
  <w:num w:numId="24">
    <w:abstractNumId w:val="1"/>
  </w:num>
  <w:num w:numId="25">
    <w:abstractNumId w:val="35"/>
  </w:num>
  <w:num w:numId="26">
    <w:abstractNumId w:val="6"/>
  </w:num>
  <w:num w:numId="27">
    <w:abstractNumId w:val="9"/>
  </w:num>
  <w:num w:numId="28">
    <w:abstractNumId w:val="33"/>
  </w:num>
  <w:num w:numId="29">
    <w:abstractNumId w:val="14"/>
  </w:num>
  <w:num w:numId="30">
    <w:abstractNumId w:val="16"/>
  </w:num>
  <w:num w:numId="31">
    <w:abstractNumId w:val="45"/>
  </w:num>
  <w:num w:numId="32">
    <w:abstractNumId w:val="27"/>
  </w:num>
  <w:num w:numId="33">
    <w:abstractNumId w:val="2"/>
  </w:num>
  <w:num w:numId="34">
    <w:abstractNumId w:val="22"/>
  </w:num>
  <w:num w:numId="35">
    <w:abstractNumId w:val="21"/>
  </w:num>
  <w:num w:numId="36">
    <w:abstractNumId w:val="24"/>
  </w:num>
  <w:num w:numId="37">
    <w:abstractNumId w:val="19"/>
  </w:num>
  <w:num w:numId="38">
    <w:abstractNumId w:val="47"/>
  </w:num>
  <w:num w:numId="39">
    <w:abstractNumId w:val="20"/>
  </w:num>
  <w:num w:numId="40">
    <w:abstractNumId w:val="42"/>
  </w:num>
  <w:num w:numId="41">
    <w:abstractNumId w:val="3"/>
  </w:num>
  <w:num w:numId="42">
    <w:abstractNumId w:val="30"/>
  </w:num>
  <w:num w:numId="43">
    <w:abstractNumId w:val="29"/>
  </w:num>
  <w:num w:numId="44">
    <w:abstractNumId w:val="36"/>
  </w:num>
  <w:num w:numId="45">
    <w:abstractNumId w:val="31"/>
  </w:num>
  <w:num w:numId="46">
    <w:abstractNumId w:val="0"/>
  </w:num>
  <w:num w:numId="47">
    <w:abstractNumId w:val="12"/>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89"/>
    <w:rsid w:val="00003959"/>
    <w:rsid w:val="000267EF"/>
    <w:rsid w:val="000415C8"/>
    <w:rsid w:val="000E3D27"/>
    <w:rsid w:val="000F4CA0"/>
    <w:rsid w:val="001749D8"/>
    <w:rsid w:val="0019400F"/>
    <w:rsid w:val="0024201B"/>
    <w:rsid w:val="003119EC"/>
    <w:rsid w:val="00323168"/>
    <w:rsid w:val="0032651F"/>
    <w:rsid w:val="00353BF3"/>
    <w:rsid w:val="0042196D"/>
    <w:rsid w:val="004579DA"/>
    <w:rsid w:val="00497CE0"/>
    <w:rsid w:val="00520A68"/>
    <w:rsid w:val="005417FA"/>
    <w:rsid w:val="00546DC4"/>
    <w:rsid w:val="00552982"/>
    <w:rsid w:val="00562E77"/>
    <w:rsid w:val="00611CB4"/>
    <w:rsid w:val="006612DD"/>
    <w:rsid w:val="0066775D"/>
    <w:rsid w:val="006F170F"/>
    <w:rsid w:val="00727368"/>
    <w:rsid w:val="00744385"/>
    <w:rsid w:val="007553A0"/>
    <w:rsid w:val="00791760"/>
    <w:rsid w:val="0080468D"/>
    <w:rsid w:val="008609AF"/>
    <w:rsid w:val="00863597"/>
    <w:rsid w:val="008A6BB6"/>
    <w:rsid w:val="00951FF3"/>
    <w:rsid w:val="00955514"/>
    <w:rsid w:val="00972D89"/>
    <w:rsid w:val="009A2373"/>
    <w:rsid w:val="009B6662"/>
    <w:rsid w:val="00B32277"/>
    <w:rsid w:val="00BE4A1A"/>
    <w:rsid w:val="00C72936"/>
    <w:rsid w:val="00CD05CD"/>
    <w:rsid w:val="00D918B7"/>
    <w:rsid w:val="00D91D3D"/>
    <w:rsid w:val="00DC7364"/>
    <w:rsid w:val="00DF498D"/>
    <w:rsid w:val="00E223F7"/>
    <w:rsid w:val="00E24D2A"/>
    <w:rsid w:val="00E31B9F"/>
    <w:rsid w:val="00E717FB"/>
    <w:rsid w:val="00FA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8C4BA0"/>
  <w15:docId w15:val="{6D32195B-A065-416F-AAD2-9531DCF0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2D89"/>
    <w:pPr>
      <w:spacing w:before="40" w:after="40"/>
      <w:jc w:val="both"/>
    </w:pPr>
    <w:rPr>
      <w:rFonts w:ascii="Arial" w:eastAsia="Times New Roman" w:hAnsi="Arial"/>
      <w:sz w:val="16"/>
      <w:szCs w:val="16"/>
    </w:rPr>
  </w:style>
  <w:style w:type="paragraph" w:styleId="Nagwek3">
    <w:name w:val="heading 3"/>
    <w:basedOn w:val="Normalny"/>
    <w:next w:val="Normalny"/>
    <w:link w:val="Nagwek3Znak"/>
    <w:uiPriority w:val="9"/>
    <w:qFormat/>
    <w:rsid w:val="00972D89"/>
    <w:pPr>
      <w:keepNext/>
      <w:spacing w:before="120" w:after="60"/>
      <w:outlineLvl w:val="2"/>
    </w:pPr>
    <w:rPr>
      <w:b/>
      <w:bCs/>
      <w:sz w:val="20"/>
      <w:szCs w:val="26"/>
    </w:rPr>
  </w:style>
  <w:style w:type="paragraph" w:styleId="Nagwek4">
    <w:name w:val="heading 4"/>
    <w:basedOn w:val="Normalny"/>
    <w:next w:val="Normalny"/>
    <w:link w:val="Nagwek4Znak"/>
    <w:uiPriority w:val="9"/>
    <w:qFormat/>
    <w:rsid w:val="00972D89"/>
    <w:pPr>
      <w:keepNext/>
      <w:spacing w:before="240" w:after="60"/>
      <w:outlineLvl w:val="3"/>
    </w:pPr>
    <w:rPr>
      <w:b/>
      <w:bCs/>
      <w:sz w:val="20"/>
    </w:rPr>
  </w:style>
  <w:style w:type="paragraph" w:styleId="Nagwek5">
    <w:name w:val="heading 5"/>
    <w:basedOn w:val="Normalny"/>
    <w:next w:val="Normalny"/>
    <w:link w:val="Nagwek5Znak"/>
    <w:qFormat/>
    <w:rsid w:val="00972D89"/>
    <w:pPr>
      <w:spacing w:before="240" w:after="60"/>
      <w:outlineLvl w:val="4"/>
    </w:pPr>
    <w:rPr>
      <w:b/>
      <w:bCs/>
      <w:iCs/>
      <w:szCs w:val="26"/>
      <w:u w:val="single"/>
      <w:lang w:val="pl-PL"/>
    </w:rPr>
  </w:style>
  <w:style w:type="paragraph" w:styleId="Nagwek6">
    <w:name w:val="heading 6"/>
    <w:basedOn w:val="Normalny"/>
    <w:next w:val="Normalny"/>
    <w:link w:val="Nagwek6Znak"/>
    <w:qFormat/>
    <w:rsid w:val="00972D89"/>
    <w:pPr>
      <w:spacing w:before="240" w:after="60"/>
      <w:outlineLvl w:val="5"/>
    </w:pPr>
    <w:rPr>
      <w:bCs/>
      <w:i/>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972D89"/>
    <w:rPr>
      <w:rFonts w:ascii="Arial" w:eastAsia="Times New Roman" w:hAnsi="Arial" w:cs="Arial"/>
      <w:b/>
      <w:bCs/>
      <w:sz w:val="20"/>
      <w:szCs w:val="26"/>
      <w:lang w:eastAsia="cs-CZ"/>
    </w:rPr>
  </w:style>
  <w:style w:type="character" w:customStyle="1" w:styleId="Nagwek4Znak">
    <w:name w:val="Nagłówek 4 Znak"/>
    <w:link w:val="Nagwek4"/>
    <w:uiPriority w:val="9"/>
    <w:rsid w:val="00972D89"/>
    <w:rPr>
      <w:rFonts w:ascii="Arial" w:eastAsia="Times New Roman" w:hAnsi="Arial" w:cs="Times New Roman"/>
      <w:b/>
      <w:bCs/>
      <w:sz w:val="20"/>
      <w:szCs w:val="16"/>
      <w:lang w:eastAsia="cs-CZ"/>
    </w:rPr>
  </w:style>
  <w:style w:type="character" w:customStyle="1" w:styleId="Nagwek5Znak">
    <w:name w:val="Nagłówek 5 Znak"/>
    <w:link w:val="Nagwek5"/>
    <w:rsid w:val="00972D89"/>
    <w:rPr>
      <w:rFonts w:ascii="Arial" w:eastAsia="Times New Roman" w:hAnsi="Arial" w:cs="Times New Roman"/>
      <w:b/>
      <w:bCs/>
      <w:iCs/>
      <w:sz w:val="16"/>
      <w:szCs w:val="26"/>
      <w:u w:val="single"/>
      <w:lang w:val="pl-PL" w:eastAsia="cs-CZ"/>
    </w:rPr>
  </w:style>
  <w:style w:type="character" w:customStyle="1" w:styleId="Nagwek6Znak">
    <w:name w:val="Nagłówek 6 Znak"/>
    <w:link w:val="Nagwek6"/>
    <w:rsid w:val="00972D89"/>
    <w:rPr>
      <w:rFonts w:ascii="Arial" w:eastAsia="Times New Roman" w:hAnsi="Arial" w:cs="Times New Roman"/>
      <w:bCs/>
      <w:i/>
      <w:sz w:val="16"/>
      <w:u w:val="single"/>
      <w:lang w:eastAsia="cs-CZ"/>
    </w:rPr>
  </w:style>
  <w:style w:type="paragraph" w:customStyle="1" w:styleId="Nadpis3polsk">
    <w:name w:val="Nadpis 3_polský"/>
    <w:basedOn w:val="Nagwek3"/>
    <w:rsid w:val="00972D89"/>
    <w:pPr>
      <w:numPr>
        <w:numId w:val="2"/>
      </w:numPr>
    </w:pPr>
    <w:rPr>
      <w:lang w:val="pl-PL"/>
    </w:rPr>
  </w:style>
  <w:style w:type="paragraph" w:styleId="Tekstprzypisudolnego">
    <w:name w:val="footnote text"/>
    <w:aliases w:val="Text pozn. pod čarou Char1,Text pozn. pod čarou Char Char,Schriftart: 8 pt,Text pozn. pod čarou Char2 Char,Text pozn. pod čarou Char Char1 Char,Text pozn. pod čarou Char1 Char Char,Schriftart: 8 pt Char Char,Schriftart: 8 pt Char1"/>
    <w:basedOn w:val="Normalny"/>
    <w:link w:val="TekstprzypisudolnegoZnak"/>
    <w:semiHidden/>
    <w:rsid w:val="00972D89"/>
    <w:rPr>
      <w:sz w:val="14"/>
      <w:szCs w:val="20"/>
    </w:rPr>
  </w:style>
  <w:style w:type="character" w:customStyle="1" w:styleId="TekstprzypisudolnegoZnak">
    <w:name w:val="Tekst przypisu dolnego Znak"/>
    <w:aliases w:val="Text pozn. pod čarou Char1 Znak,Text pozn. pod čarou Char Char Znak,Schriftart: 8 pt Znak,Text pozn. pod čarou Char2 Char Znak,Text pozn. pod čarou Char Char1 Char Znak,Text pozn. pod čarou Char1 Char Char Znak"/>
    <w:link w:val="Tekstprzypisudolnego"/>
    <w:semiHidden/>
    <w:rsid w:val="00972D89"/>
    <w:rPr>
      <w:rFonts w:ascii="Arial" w:eastAsia="Times New Roman" w:hAnsi="Arial" w:cs="Times New Roman"/>
      <w:sz w:val="14"/>
      <w:szCs w:val="20"/>
      <w:lang w:eastAsia="cs-CZ"/>
    </w:rPr>
  </w:style>
  <w:style w:type="character" w:styleId="Odwoanieprzypisudolnego">
    <w:name w:val="footnote reference"/>
    <w:aliases w:val="PGI Fußnote Ziffer,PGI Fußnote Ziffer + Times New Roman,12 b.,Zúžené o ...,Footnote Reference Number,Footnote symbol,Nota,Footnote number,de nota al pie,Ref,Char,SUPERS,Voetnootmarkering,Char1,fr,o,(NECG) Footnote Reference,Re"/>
    <w:rsid w:val="00972D89"/>
    <w:rPr>
      <w:vertAlign w:val="superscript"/>
    </w:rPr>
  </w:style>
  <w:style w:type="character" w:styleId="Hipercze">
    <w:name w:val="Hyperlink"/>
    <w:uiPriority w:val="99"/>
    <w:rsid w:val="00972D89"/>
    <w:rPr>
      <w:color w:val="0000FF"/>
      <w:u w:val="single"/>
    </w:rPr>
  </w:style>
  <w:style w:type="character" w:styleId="Pogrubienie">
    <w:name w:val="Strong"/>
    <w:uiPriority w:val="22"/>
    <w:qFormat/>
    <w:rsid w:val="00972D89"/>
    <w:rPr>
      <w:b/>
      <w:bCs/>
    </w:rPr>
  </w:style>
  <w:style w:type="paragraph" w:styleId="Akapitzlist">
    <w:name w:val="List Paragraph"/>
    <w:basedOn w:val="Normalny"/>
    <w:link w:val="AkapitzlistZnak"/>
    <w:uiPriority w:val="34"/>
    <w:qFormat/>
    <w:rsid w:val="00972D89"/>
    <w:pPr>
      <w:spacing w:after="200" w:line="276" w:lineRule="auto"/>
      <w:ind w:left="720"/>
      <w:contextualSpacing/>
      <w:jc w:val="left"/>
    </w:pPr>
    <w:rPr>
      <w:rFonts w:ascii="Calibri" w:eastAsia="Calibri" w:hAnsi="Calibri"/>
      <w:sz w:val="20"/>
      <w:szCs w:val="20"/>
    </w:rPr>
  </w:style>
  <w:style w:type="character" w:customStyle="1" w:styleId="AkapitzlistZnak">
    <w:name w:val="Akapit z listą Znak"/>
    <w:link w:val="Akapitzlist"/>
    <w:uiPriority w:val="34"/>
    <w:locked/>
    <w:rsid w:val="00972D89"/>
    <w:rPr>
      <w:rFonts w:ascii="Calibri" w:eastAsia="Calibri" w:hAnsi="Calibri" w:cs="Times New Roman"/>
    </w:rPr>
  </w:style>
  <w:style w:type="paragraph" w:styleId="NormalnyWeb">
    <w:name w:val="Normal (Web)"/>
    <w:basedOn w:val="Normalny"/>
    <w:uiPriority w:val="99"/>
    <w:unhideWhenUsed/>
    <w:rsid w:val="00972D89"/>
    <w:pPr>
      <w:spacing w:before="100" w:beforeAutospacing="1" w:after="100" w:afterAutospacing="1"/>
      <w:jc w:val="left"/>
    </w:pPr>
    <w:rPr>
      <w:rFonts w:ascii="Times New Roman" w:hAnsi="Times New Roman"/>
      <w:sz w:val="24"/>
      <w:szCs w:val="24"/>
      <w:lang w:val="pl-PL" w:eastAsia="pl-PL"/>
    </w:rPr>
  </w:style>
  <w:style w:type="paragraph" w:customStyle="1" w:styleId="Default">
    <w:name w:val="Default"/>
    <w:rsid w:val="00972D89"/>
    <w:pPr>
      <w:autoSpaceDE w:val="0"/>
      <w:autoSpaceDN w:val="0"/>
      <w:adjustRightInd w:val="0"/>
    </w:pPr>
    <w:rPr>
      <w:rFonts w:ascii="Times New Roman" w:hAnsi="Times New Roman"/>
      <w:color w:val="000000"/>
      <w:sz w:val="24"/>
      <w:szCs w:val="24"/>
      <w:lang w:eastAsia="en-US"/>
    </w:rPr>
  </w:style>
  <w:style w:type="paragraph" w:customStyle="1" w:styleId="Aufzhlung1">
    <w:name w:val="Aufzählung1"/>
    <w:basedOn w:val="Normalny"/>
    <w:qFormat/>
    <w:rsid w:val="00972D89"/>
    <w:pPr>
      <w:spacing w:before="120" w:after="120" w:line="280" w:lineRule="exact"/>
      <w:ind w:right="567"/>
      <w:contextualSpacing/>
      <w:jc w:val="left"/>
    </w:pPr>
    <w:rPr>
      <w:rFonts w:ascii="Calibri" w:hAnsi="Calibri" w:cs="Arial"/>
      <w:sz w:val="22"/>
      <w:szCs w:val="20"/>
      <w:lang w:val="pl-PL" w:eastAsia="de-DE"/>
    </w:rPr>
  </w:style>
  <w:style w:type="paragraph" w:customStyle="1" w:styleId="Text1">
    <w:name w:val="Text 1"/>
    <w:basedOn w:val="Normalny"/>
    <w:link w:val="Text1Char"/>
    <w:rsid w:val="00972D89"/>
    <w:pPr>
      <w:spacing w:before="0" w:after="240"/>
      <w:ind w:left="482"/>
    </w:pPr>
    <w:rPr>
      <w:rFonts w:ascii="Times New Roman" w:hAnsi="Times New Roman"/>
      <w:sz w:val="24"/>
      <w:szCs w:val="20"/>
      <w:lang w:bidi="cs-CZ"/>
    </w:rPr>
  </w:style>
  <w:style w:type="character" w:customStyle="1" w:styleId="Text1Char">
    <w:name w:val="Text 1 Char"/>
    <w:link w:val="Text1"/>
    <w:locked/>
    <w:rsid w:val="00972D89"/>
    <w:rPr>
      <w:rFonts w:ascii="Times New Roman" w:eastAsia="Times New Roman" w:hAnsi="Times New Roman" w:cs="Times New Roman"/>
      <w:sz w:val="24"/>
      <w:szCs w:val="20"/>
      <w:lang w:bidi="cs-CZ"/>
    </w:rPr>
  </w:style>
  <w:style w:type="paragraph" w:styleId="Nagwek">
    <w:name w:val="header"/>
    <w:basedOn w:val="Normalny"/>
    <w:link w:val="NagwekZnak"/>
    <w:uiPriority w:val="99"/>
    <w:unhideWhenUsed/>
    <w:rsid w:val="00972D89"/>
    <w:pPr>
      <w:tabs>
        <w:tab w:val="center" w:pos="4536"/>
        <w:tab w:val="right" w:pos="9072"/>
      </w:tabs>
      <w:spacing w:before="0" w:after="0"/>
    </w:pPr>
  </w:style>
  <w:style w:type="character" w:customStyle="1" w:styleId="NagwekZnak">
    <w:name w:val="Nagłówek Znak"/>
    <w:link w:val="Nagwek"/>
    <w:uiPriority w:val="99"/>
    <w:rsid w:val="00972D89"/>
    <w:rPr>
      <w:rFonts w:ascii="Arial" w:eastAsia="Times New Roman" w:hAnsi="Arial" w:cs="Times New Roman"/>
      <w:sz w:val="16"/>
      <w:szCs w:val="16"/>
      <w:lang w:eastAsia="cs-CZ"/>
    </w:rPr>
  </w:style>
  <w:style w:type="paragraph" w:styleId="Stopka">
    <w:name w:val="footer"/>
    <w:basedOn w:val="Normalny"/>
    <w:link w:val="StopkaZnak"/>
    <w:uiPriority w:val="99"/>
    <w:unhideWhenUsed/>
    <w:rsid w:val="00972D89"/>
    <w:pPr>
      <w:tabs>
        <w:tab w:val="center" w:pos="4536"/>
        <w:tab w:val="right" w:pos="9072"/>
      </w:tabs>
      <w:spacing w:before="0" w:after="0"/>
    </w:pPr>
  </w:style>
  <w:style w:type="character" w:customStyle="1" w:styleId="StopkaZnak">
    <w:name w:val="Stopka Znak"/>
    <w:link w:val="Stopka"/>
    <w:uiPriority w:val="99"/>
    <w:rsid w:val="00972D89"/>
    <w:rPr>
      <w:rFonts w:ascii="Arial" w:eastAsia="Times New Roman" w:hAnsi="Arial" w:cs="Times New Roman"/>
      <w:sz w:val="16"/>
      <w:szCs w:val="16"/>
      <w:lang w:eastAsia="cs-CZ"/>
    </w:rPr>
  </w:style>
  <w:style w:type="paragraph" w:styleId="Tekstdymka">
    <w:name w:val="Balloon Text"/>
    <w:basedOn w:val="Normalny"/>
    <w:link w:val="TekstdymkaZnak"/>
    <w:uiPriority w:val="99"/>
    <w:semiHidden/>
    <w:unhideWhenUsed/>
    <w:rsid w:val="00972D89"/>
    <w:pPr>
      <w:spacing w:before="0" w:after="0"/>
    </w:pPr>
    <w:rPr>
      <w:rFonts w:ascii="Tahoma" w:hAnsi="Tahoma"/>
    </w:rPr>
  </w:style>
  <w:style w:type="character" w:customStyle="1" w:styleId="TekstdymkaZnak">
    <w:name w:val="Tekst dymka Znak"/>
    <w:link w:val="Tekstdymka"/>
    <w:uiPriority w:val="99"/>
    <w:semiHidden/>
    <w:rsid w:val="00972D89"/>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ohs.cz/download/Sekce_VP/VP_update/Prirucka-k-pojmu-jeden-podnik_FINAL.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pl.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z-pl.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ohs.cz/download/Sekce_VP/VP_update/Prirucka-k-pojmu-jeden-podnik_FINAL.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2E453-118F-40BA-8659-36608C7F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6867</Words>
  <Characters>41208</Characters>
  <Application>Microsoft Office Word</Application>
  <DocSecurity>0</DocSecurity>
  <Lines>343</Lines>
  <Paragraphs>95</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Euroregion Beskidy</Company>
  <LinksUpToDate>false</LinksUpToDate>
  <CharactersWithSpaces>47980</CharactersWithSpaces>
  <SharedDoc>false</SharedDoc>
  <HLinks>
    <vt:vector size="66" baseType="variant">
      <vt:variant>
        <vt:i4>8060977</vt:i4>
      </vt:variant>
      <vt:variant>
        <vt:i4>15</vt:i4>
      </vt:variant>
      <vt:variant>
        <vt:i4>0</vt:i4>
      </vt:variant>
      <vt:variant>
        <vt:i4>5</vt:i4>
      </vt:variant>
      <vt:variant>
        <vt:lpwstr>https://www.uohs.cz/cs/verejna-podpora.html</vt:lpwstr>
      </vt:variant>
      <vt:variant>
        <vt:lpwstr/>
      </vt:variant>
      <vt:variant>
        <vt:i4>8060977</vt:i4>
      </vt:variant>
      <vt:variant>
        <vt:i4>12</vt:i4>
      </vt:variant>
      <vt:variant>
        <vt:i4>0</vt:i4>
      </vt:variant>
      <vt:variant>
        <vt:i4>5</vt:i4>
      </vt:variant>
      <vt:variant>
        <vt:lpwstr>https://www.uohs.cz/cs/verejna-podpora.html</vt:lpwstr>
      </vt:variant>
      <vt:variant>
        <vt:lpwstr/>
      </vt:variant>
      <vt:variant>
        <vt:i4>4390913</vt:i4>
      </vt:variant>
      <vt:variant>
        <vt:i4>9</vt:i4>
      </vt:variant>
      <vt:variant>
        <vt:i4>0</vt:i4>
      </vt:variant>
      <vt:variant>
        <vt:i4>5</vt:i4>
      </vt:variant>
      <vt:variant>
        <vt:lpwstr>http://www.cz-pl.eu/</vt:lpwstr>
      </vt:variant>
      <vt:variant>
        <vt:lpwstr/>
      </vt:variant>
      <vt:variant>
        <vt:i4>4390913</vt:i4>
      </vt:variant>
      <vt:variant>
        <vt:i4>6</vt:i4>
      </vt:variant>
      <vt:variant>
        <vt:i4>0</vt:i4>
      </vt:variant>
      <vt:variant>
        <vt:i4>5</vt:i4>
      </vt:variant>
      <vt:variant>
        <vt:lpwstr>http://www.cz-pl.eu/</vt:lpwstr>
      </vt:variant>
      <vt:variant>
        <vt:lpwstr/>
      </vt:variant>
      <vt:variant>
        <vt:i4>3801106</vt:i4>
      </vt:variant>
      <vt:variant>
        <vt:i4>3</vt:i4>
      </vt:variant>
      <vt:variant>
        <vt:i4>0</vt:i4>
      </vt:variant>
      <vt:variant>
        <vt:i4>5</vt:i4>
      </vt:variant>
      <vt:variant>
        <vt:lpwstr>http://www.uohs.cz/download/Sekce_VP/VP_update/Prirucka-k-pojmu-jeden-podnik_FINAL.pdf</vt:lpwstr>
      </vt:variant>
      <vt:variant>
        <vt:lpwstr/>
      </vt:variant>
      <vt:variant>
        <vt:i4>3801106</vt:i4>
      </vt:variant>
      <vt:variant>
        <vt:i4>0</vt:i4>
      </vt:variant>
      <vt:variant>
        <vt:i4>0</vt:i4>
      </vt:variant>
      <vt:variant>
        <vt:i4>5</vt:i4>
      </vt:variant>
      <vt:variant>
        <vt:lpwstr>http://www.uohs.cz/download/Sekce_VP/VP_update/Prirucka-k-pojmu-jeden-podnik_FINAL.pdf</vt:lpwstr>
      </vt:variant>
      <vt:variant>
        <vt:lpwstr/>
      </vt:variant>
      <vt:variant>
        <vt:i4>4390913</vt:i4>
      </vt:variant>
      <vt:variant>
        <vt:i4>12</vt:i4>
      </vt:variant>
      <vt:variant>
        <vt:i4>0</vt:i4>
      </vt:variant>
      <vt:variant>
        <vt:i4>5</vt:i4>
      </vt:variant>
      <vt:variant>
        <vt:lpwstr>http://www.cz-pl.eu/</vt:lpwstr>
      </vt:variant>
      <vt:variant>
        <vt:lpwstr/>
      </vt:variant>
      <vt:variant>
        <vt:i4>1179654</vt:i4>
      </vt:variant>
      <vt:variant>
        <vt:i4>9</vt:i4>
      </vt:variant>
      <vt:variant>
        <vt:i4>0</vt:i4>
      </vt:variant>
      <vt:variant>
        <vt:i4>5</vt:i4>
      </vt:variant>
      <vt:variant>
        <vt:lpwstr>http://www.uohs.cz/cs/verejna-podpora/podpora-de-minimis.html</vt:lpwstr>
      </vt:variant>
      <vt:variant>
        <vt:lpwstr/>
      </vt:variant>
      <vt:variant>
        <vt:i4>4390913</vt:i4>
      </vt:variant>
      <vt:variant>
        <vt:i4>6</vt:i4>
      </vt:variant>
      <vt:variant>
        <vt:i4>0</vt:i4>
      </vt:variant>
      <vt:variant>
        <vt:i4>5</vt:i4>
      </vt:variant>
      <vt:variant>
        <vt:lpwstr>http://www.cz-pl.eu/</vt:lpwstr>
      </vt:variant>
      <vt:variant>
        <vt:lpwstr/>
      </vt:variant>
      <vt:variant>
        <vt:i4>1179654</vt:i4>
      </vt:variant>
      <vt:variant>
        <vt:i4>3</vt:i4>
      </vt:variant>
      <vt:variant>
        <vt:i4>0</vt:i4>
      </vt:variant>
      <vt:variant>
        <vt:i4>5</vt:i4>
      </vt:variant>
      <vt:variant>
        <vt:lpwstr>http://www.uohs.cz/cs/verejna-podpora/podpora-de-minimis.html</vt:lpwstr>
      </vt:variant>
      <vt:variant>
        <vt:lpwstr/>
      </vt:variant>
      <vt:variant>
        <vt:i4>1572873</vt:i4>
      </vt:variant>
      <vt:variant>
        <vt:i4>0</vt:i4>
      </vt:variant>
      <vt:variant>
        <vt:i4>0</vt:i4>
      </vt:variant>
      <vt:variant>
        <vt:i4>5</vt:i4>
      </vt:variant>
      <vt:variant>
        <vt:lpwstr>https://www.uohs.cz/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dc:creator>
  <cp:lastModifiedBy>Joanna</cp:lastModifiedBy>
  <cp:revision>6</cp:revision>
  <dcterms:created xsi:type="dcterms:W3CDTF">2023-06-22T07:18:00Z</dcterms:created>
  <dcterms:modified xsi:type="dcterms:W3CDTF">2023-09-29T09:10:00Z</dcterms:modified>
</cp:coreProperties>
</file>